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7F" w:rsidRPr="004E3900" w:rsidRDefault="00DE737F" w:rsidP="00DE737F">
      <w:pPr>
        <w:widowControl w:val="0"/>
        <w:snapToGrid w:val="0"/>
        <w:spacing w:beforeLines="50" w:before="180" w:afterLines="50" w:after="180"/>
        <w:rPr>
          <w:rFonts w:asciiTheme="minorEastAsia" w:eastAsiaTheme="minorEastAsia" w:hAnsiTheme="minorEastAsia" w:cstheme="minorBidi"/>
          <w:kern w:val="2"/>
          <w:bdr w:val="single" w:sz="4" w:space="0" w:color="auto"/>
        </w:rPr>
      </w:pPr>
      <w:r w:rsidRPr="00914B1D">
        <w:rPr>
          <w:rFonts w:asciiTheme="minorEastAsia" w:eastAsiaTheme="minorEastAsia" w:hAnsiTheme="minorEastAsia" w:cstheme="minorBidi" w:hint="eastAsia"/>
          <w:kern w:val="2"/>
          <w:bdr w:val="single" w:sz="4" w:space="0" w:color="auto"/>
        </w:rPr>
        <w:t>附表</w:t>
      </w:r>
      <w:proofErr w:type="gramStart"/>
      <w:r w:rsidRPr="00914B1D">
        <w:rPr>
          <w:rFonts w:asciiTheme="minorEastAsia" w:eastAsiaTheme="minorEastAsia" w:hAnsiTheme="minorEastAsia" w:cstheme="minorBidi" w:hint="eastAsia"/>
          <w:kern w:val="2"/>
          <w:bdr w:val="single" w:sz="4" w:space="0" w:color="auto"/>
        </w:rPr>
        <w:t>一</w:t>
      </w:r>
      <w:proofErr w:type="gramEnd"/>
    </w:p>
    <w:p w:rsidR="00DE737F" w:rsidRPr="00914B1D" w:rsidRDefault="00DE737F" w:rsidP="00DE737F">
      <w:pPr>
        <w:jc w:val="center"/>
        <w:rPr>
          <w:rFonts w:asciiTheme="minorEastAsia" w:eastAsiaTheme="minorEastAsia" w:hAnsiTheme="minorEastAsia" w:cs="Times New Roman"/>
          <w:sz w:val="32"/>
        </w:rPr>
      </w:pPr>
      <w:r w:rsidRPr="00914B1D">
        <w:rPr>
          <w:rFonts w:asciiTheme="minorEastAsia" w:eastAsiaTheme="minorEastAsia" w:hAnsiTheme="minorEastAsia" w:cs="Times New Roman"/>
          <w:kern w:val="2"/>
          <w:sz w:val="32"/>
        </w:rPr>
        <w:t>NDC 應呈現</w:t>
      </w:r>
      <w:proofErr w:type="gramStart"/>
      <w:r w:rsidRPr="00914B1D">
        <w:rPr>
          <w:rFonts w:asciiTheme="minorEastAsia" w:eastAsiaTheme="minorEastAsia" w:hAnsiTheme="minorEastAsia" w:cs="Times New Roman"/>
          <w:kern w:val="2"/>
          <w:sz w:val="32"/>
        </w:rPr>
        <w:t>清楚、</w:t>
      </w:r>
      <w:proofErr w:type="gramEnd"/>
      <w:r w:rsidRPr="00914B1D">
        <w:rPr>
          <w:rFonts w:asciiTheme="minorEastAsia" w:eastAsiaTheme="minorEastAsia" w:hAnsiTheme="minorEastAsia" w:cs="Times New Roman"/>
          <w:kern w:val="2"/>
          <w:sz w:val="32"/>
        </w:rPr>
        <w:t>透明、可理解的資訊</w:t>
      </w:r>
    </w:p>
    <w:tbl>
      <w:tblPr>
        <w:tblW w:w="0" w:type="auto"/>
        <w:tblCellMar>
          <w:top w:w="15" w:type="dxa"/>
          <w:left w:w="15" w:type="dxa"/>
          <w:bottom w:w="15" w:type="dxa"/>
          <w:right w:w="15" w:type="dxa"/>
        </w:tblCellMar>
        <w:tblLook w:val="04A0" w:firstRow="1" w:lastRow="0" w:firstColumn="1" w:lastColumn="0" w:noHBand="0" w:noVBand="1"/>
      </w:tblPr>
      <w:tblGrid>
        <w:gridCol w:w="3920"/>
        <w:gridCol w:w="4366"/>
      </w:tblGrid>
      <w:tr w:rsidR="00DE737F" w:rsidRPr="00914B1D" w:rsidTr="002C73D3">
        <w:trPr>
          <w:trHeight w:val="14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DE737F">
            <w:pPr>
              <w:numPr>
                <w:ilvl w:val="0"/>
                <w:numId w:val="1"/>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 xml:space="preserve"> 參考點 Reference Point</w:t>
            </w:r>
          </w:p>
        </w:tc>
      </w:tr>
      <w:tr w:rsidR="00DE737F" w:rsidRPr="00914B1D" w:rsidTr="002C73D3">
        <w:trPr>
          <w:trHeight w:val="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基準年</w:t>
            </w:r>
            <w:proofErr w:type="gramStart"/>
            <w:r w:rsidRPr="00914B1D">
              <w:rPr>
                <w:rFonts w:asciiTheme="minorEastAsia" w:eastAsiaTheme="minorEastAsia" w:hAnsiTheme="minorEastAsia" w:cs="Times New Roman"/>
                <w:sz w:val="20"/>
                <w:szCs w:val="20"/>
              </w:rPr>
              <w:t>（</w:t>
            </w:r>
            <w:proofErr w:type="gramEnd"/>
            <w:r w:rsidRPr="00914B1D">
              <w:rPr>
                <w:rFonts w:asciiTheme="minorEastAsia" w:eastAsiaTheme="minorEastAsia" w:hAnsiTheme="minorEastAsia" w:cs="Times New Roman"/>
                <w:sz w:val="20"/>
                <w:szCs w:val="20"/>
              </w:rPr>
              <w:t>base/reference year)</w:t>
            </w:r>
          </w:p>
          <w:p w:rsidR="00DE737F" w:rsidRPr="00914B1D" w:rsidRDefault="00DE737F" w:rsidP="00DE737F">
            <w:pPr>
              <w:numPr>
                <w:ilvl w:val="1"/>
                <w:numId w:val="3"/>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基準</w:t>
            </w:r>
            <w:proofErr w:type="gramStart"/>
            <w:r w:rsidRPr="00914B1D">
              <w:rPr>
                <w:rFonts w:asciiTheme="minorEastAsia" w:eastAsiaTheme="minorEastAsia" w:hAnsiTheme="minorEastAsia" w:cs="Times New Roman"/>
                <w:sz w:val="20"/>
                <w:szCs w:val="20"/>
              </w:rPr>
              <w:t>年碳排</w:t>
            </w:r>
            <w:proofErr w:type="gramEnd"/>
            <w:r w:rsidRPr="00914B1D">
              <w:rPr>
                <w:rFonts w:asciiTheme="minorEastAsia" w:eastAsiaTheme="minorEastAsia" w:hAnsiTheme="minorEastAsia" w:cs="Times New Roman"/>
                <w:sz w:val="20"/>
                <w:szCs w:val="20"/>
              </w:rPr>
              <w:t>量</w:t>
            </w:r>
          </w:p>
          <w:p w:rsidR="00DE737F" w:rsidRPr="00914B1D" w:rsidRDefault="00DE737F" w:rsidP="00DE737F">
            <w:pPr>
              <w:numPr>
                <w:ilvl w:val="1"/>
                <w:numId w:val="3"/>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基準</w:t>
            </w:r>
            <w:proofErr w:type="gramStart"/>
            <w:r w:rsidRPr="00914B1D">
              <w:rPr>
                <w:rFonts w:asciiTheme="minorEastAsia" w:eastAsiaTheme="minorEastAsia" w:hAnsiTheme="minorEastAsia" w:cs="Times New Roman"/>
                <w:sz w:val="20"/>
                <w:szCs w:val="20"/>
              </w:rPr>
              <w:t>年碳排</w:t>
            </w:r>
            <w:proofErr w:type="gramEnd"/>
            <w:r w:rsidRPr="00914B1D">
              <w:rPr>
                <w:rFonts w:asciiTheme="minorEastAsia" w:eastAsiaTheme="minorEastAsia" w:hAnsiTheme="minorEastAsia" w:cs="Times New Roman"/>
                <w:sz w:val="20"/>
                <w:szCs w:val="20"/>
              </w:rPr>
              <w:t>強度</w:t>
            </w:r>
          </w:p>
          <w:p w:rsidR="00DE737F" w:rsidRPr="00914B1D" w:rsidRDefault="00DE737F" w:rsidP="00DE737F">
            <w:pPr>
              <w:numPr>
                <w:ilvl w:val="0"/>
                <w:numId w:val="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預期基線情境</w:t>
            </w:r>
            <w:proofErr w:type="gramStart"/>
            <w:r w:rsidRPr="00914B1D">
              <w:rPr>
                <w:rFonts w:asciiTheme="minorEastAsia" w:eastAsiaTheme="minorEastAsia" w:hAnsiTheme="minorEastAsia" w:cs="Times New Roman"/>
                <w:sz w:val="20"/>
                <w:szCs w:val="20"/>
              </w:rPr>
              <w:t>的碳排量</w:t>
            </w:r>
            <w:proofErr w:type="gramEnd"/>
          </w:p>
          <w:p w:rsidR="00DE737F" w:rsidRPr="00914B1D" w:rsidRDefault="00DE737F" w:rsidP="00DE737F">
            <w:pPr>
              <w:numPr>
                <w:ilvl w:val="0"/>
                <w:numId w:val="2"/>
              </w:numPr>
              <w:ind w:leftChars="72" w:left="173"/>
              <w:textAlignment w:val="baseline"/>
              <w:rPr>
                <w:rFonts w:asciiTheme="minorEastAsia" w:eastAsiaTheme="minorEastAsia" w:hAnsiTheme="minorEastAsia" w:cs="Times New Roman"/>
                <w:sz w:val="20"/>
                <w:szCs w:val="20"/>
              </w:rPr>
            </w:pPr>
            <w:proofErr w:type="gramStart"/>
            <w:r w:rsidRPr="00914B1D">
              <w:rPr>
                <w:rFonts w:asciiTheme="minorEastAsia" w:eastAsiaTheme="minorEastAsia" w:hAnsiTheme="minorEastAsia" w:cs="Times New Roman"/>
                <w:sz w:val="20"/>
                <w:szCs w:val="20"/>
              </w:rPr>
              <w:t>減碳目標</w:t>
            </w:r>
            <w:proofErr w:type="gramEnd"/>
            <w:r w:rsidRPr="00914B1D">
              <w:rPr>
                <w:rFonts w:asciiTheme="minorEastAsia" w:eastAsiaTheme="minorEastAsia" w:hAnsiTheme="minorEastAsia" w:cs="Times New Roman"/>
                <w:sz w:val="20"/>
                <w:szCs w:val="20"/>
              </w:rPr>
              <w:t>與參考值之間的關聯</w:t>
            </w:r>
          </w:p>
          <w:p w:rsidR="00DE737F" w:rsidRPr="00914B1D" w:rsidRDefault="00DE737F" w:rsidP="00DE737F">
            <w:pPr>
              <w:numPr>
                <w:ilvl w:val="0"/>
                <w:numId w:val="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量化參考值所使用的資料來源</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4"/>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提供的指標須為可量化的數據，無法以數據表示的話，須提供其他相關資料</w:t>
            </w:r>
          </w:p>
          <w:p w:rsidR="00DE737F" w:rsidRPr="00914B1D" w:rsidRDefault="00DE737F" w:rsidP="00DE737F">
            <w:pPr>
              <w:numPr>
                <w:ilvl w:val="0"/>
                <w:numId w:val="4"/>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參考指標須為可更新的資訊，例如整體的預期情境、時間點等</w:t>
            </w:r>
          </w:p>
        </w:tc>
      </w:tr>
      <w:tr w:rsidR="00DE737F" w:rsidRPr="00914B1D" w:rsidTr="002C73D3">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B.執行時間軸 Time frames and/or periods for implementation</w:t>
            </w:r>
          </w:p>
        </w:tc>
      </w:tr>
      <w:tr w:rsidR="00DE737F" w:rsidRPr="00914B1D" w:rsidTr="002C73D3">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5"/>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執行的時間軸，包含起始、終止期，要符合之後CMA通過的相關條文及準則</w:t>
            </w:r>
          </w:p>
          <w:p w:rsidR="00DE737F" w:rsidRPr="00914B1D" w:rsidRDefault="00DE737F" w:rsidP="00DE737F">
            <w:pPr>
              <w:numPr>
                <w:ilvl w:val="0"/>
                <w:numId w:val="5"/>
              </w:numPr>
              <w:ind w:leftChars="72" w:left="173"/>
              <w:textAlignment w:val="baseline"/>
              <w:rPr>
                <w:rFonts w:asciiTheme="minorEastAsia" w:eastAsiaTheme="minorEastAsia" w:hAnsiTheme="minorEastAsia" w:cs="Times New Roman"/>
                <w:sz w:val="20"/>
                <w:szCs w:val="20"/>
              </w:rPr>
            </w:pPr>
            <w:proofErr w:type="gramStart"/>
            <w:r w:rsidRPr="00914B1D">
              <w:rPr>
                <w:rFonts w:asciiTheme="minorEastAsia" w:eastAsiaTheme="minorEastAsia" w:hAnsiTheme="minorEastAsia" w:cs="Times New Roman"/>
                <w:sz w:val="20"/>
                <w:szCs w:val="20"/>
              </w:rPr>
              <w:t>減碳或</w:t>
            </w:r>
            <w:proofErr w:type="gramEnd"/>
            <w:r w:rsidRPr="00914B1D">
              <w:rPr>
                <w:rFonts w:asciiTheme="minorEastAsia" w:eastAsiaTheme="minorEastAsia" w:hAnsiTheme="minorEastAsia" w:cs="Times New Roman"/>
                <w:sz w:val="20"/>
                <w:szCs w:val="20"/>
              </w:rPr>
              <w:t>其他氣候行動的目標年份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6"/>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目標年需說明清楚是單年(single year)還是多年(multi-year)</w:t>
            </w:r>
          </w:p>
        </w:tc>
      </w:tr>
      <w:tr w:rsidR="00DE737F" w:rsidRPr="00914B1D" w:rsidTr="002C73D3">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C. 面向與範圍 Scope and Coverage</w:t>
            </w:r>
          </w:p>
        </w:tc>
      </w:tr>
      <w:tr w:rsidR="00DE737F" w:rsidRPr="00914B1D" w:rsidTr="002C73D3">
        <w:trPr>
          <w:trHeight w:val="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7"/>
              </w:numPr>
              <w:ind w:leftChars="72" w:left="173"/>
              <w:textAlignment w:val="baseline"/>
              <w:rPr>
                <w:rFonts w:asciiTheme="minorEastAsia" w:eastAsiaTheme="minorEastAsia" w:hAnsiTheme="minorEastAsia" w:cs="Times New Roman"/>
                <w:sz w:val="20"/>
                <w:szCs w:val="20"/>
              </w:rPr>
            </w:pPr>
            <w:proofErr w:type="gramStart"/>
            <w:r w:rsidRPr="00914B1D">
              <w:rPr>
                <w:rFonts w:asciiTheme="minorEastAsia" w:eastAsiaTheme="minorEastAsia" w:hAnsiTheme="minorEastAsia" w:cs="Times New Roman"/>
                <w:sz w:val="20"/>
                <w:szCs w:val="20"/>
              </w:rPr>
              <w:t>減碳或</w:t>
            </w:r>
            <w:proofErr w:type="gramEnd"/>
            <w:r w:rsidRPr="00914B1D">
              <w:rPr>
                <w:rFonts w:asciiTheme="minorEastAsia" w:eastAsiaTheme="minorEastAsia" w:hAnsiTheme="minorEastAsia" w:cs="Times New Roman"/>
                <w:sz w:val="20"/>
                <w:szCs w:val="20"/>
              </w:rPr>
              <w:t>其他氣候行動目標的大致描述，包括</w:t>
            </w:r>
          </w:p>
          <w:p w:rsidR="00DE737F" w:rsidRPr="00914B1D" w:rsidRDefault="00DE737F" w:rsidP="00DE737F">
            <w:pPr>
              <w:numPr>
                <w:ilvl w:val="1"/>
                <w:numId w:val="8"/>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橫跨的部門</w:t>
            </w:r>
          </w:p>
          <w:p w:rsidR="00DE737F" w:rsidRPr="00914B1D" w:rsidRDefault="00DE737F" w:rsidP="00DE737F">
            <w:pPr>
              <w:numPr>
                <w:ilvl w:val="1"/>
                <w:numId w:val="8"/>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溫室氣體的範圍(eg.CO</w:t>
            </w:r>
            <w:r w:rsidRPr="00914B1D">
              <w:rPr>
                <w:rFonts w:asciiTheme="minorEastAsia" w:eastAsiaTheme="minorEastAsia" w:hAnsiTheme="minorEastAsia" w:cs="Times New Roman"/>
                <w:sz w:val="8"/>
                <w:szCs w:val="8"/>
              </w:rPr>
              <w:t>2</w:t>
            </w:r>
            <w:r w:rsidRPr="00914B1D">
              <w:rPr>
                <w:rFonts w:asciiTheme="minorEastAsia" w:eastAsiaTheme="minorEastAsia" w:hAnsiTheme="minorEastAsia" w:cs="Times New Roman"/>
                <w:sz w:val="20"/>
                <w:szCs w:val="20"/>
              </w:rPr>
              <w:t>, CH</w:t>
            </w:r>
            <w:r w:rsidRPr="00914B1D">
              <w:rPr>
                <w:rFonts w:asciiTheme="minorEastAsia" w:eastAsiaTheme="minorEastAsia" w:hAnsiTheme="minorEastAsia" w:cs="Times New Roman"/>
                <w:sz w:val="12"/>
                <w:szCs w:val="12"/>
              </w:rPr>
              <w:t>4</w:t>
            </w:r>
            <w:r w:rsidRPr="00914B1D">
              <w:rPr>
                <w:rFonts w:asciiTheme="minorEastAsia" w:eastAsiaTheme="minorEastAsia" w:hAnsiTheme="minorEastAsia" w:cs="Times New Roman"/>
                <w:sz w:val="20"/>
                <w:szCs w:val="20"/>
              </w:rPr>
              <w:t>, N</w:t>
            </w:r>
            <w:r w:rsidRPr="00914B1D">
              <w:rPr>
                <w:rFonts w:asciiTheme="minorEastAsia" w:eastAsiaTheme="minorEastAsia" w:hAnsiTheme="minorEastAsia" w:cs="Times New Roman"/>
                <w:sz w:val="12"/>
                <w:szCs w:val="12"/>
              </w:rPr>
              <w:t>2</w:t>
            </w:r>
            <w:r w:rsidRPr="00914B1D">
              <w:rPr>
                <w:rFonts w:asciiTheme="minorEastAsia" w:eastAsiaTheme="minorEastAsia" w:hAnsiTheme="minorEastAsia" w:cs="Times New Roman"/>
                <w:sz w:val="20"/>
                <w:szCs w:val="20"/>
              </w:rPr>
              <w:t>O等</w:t>
            </w:r>
            <w:proofErr w:type="gramStart"/>
            <w:r w:rsidRPr="00914B1D">
              <w:rPr>
                <w:rFonts w:asciiTheme="minorEastAsia" w:eastAsiaTheme="minorEastAsia" w:hAnsiTheme="minorEastAsia" w:cs="Times New Roman"/>
                <w:sz w:val="20"/>
                <w:szCs w:val="20"/>
              </w:rPr>
              <w:t>）</w:t>
            </w:r>
            <w:proofErr w:type="gramEnd"/>
          </w:p>
          <w:p w:rsidR="00DE737F" w:rsidRPr="00914B1D" w:rsidRDefault="00DE737F" w:rsidP="00DE737F">
            <w:pPr>
              <w:numPr>
                <w:ilvl w:val="1"/>
                <w:numId w:val="8"/>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地理範圍</w:t>
            </w:r>
          </w:p>
          <w:p w:rsidR="00DE737F" w:rsidRPr="00914B1D" w:rsidRDefault="00DE737F" w:rsidP="00DE737F">
            <w:pPr>
              <w:numPr>
                <w:ilvl w:val="1"/>
                <w:numId w:val="8"/>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根據最近的</w:t>
            </w:r>
            <w:proofErr w:type="gramStart"/>
            <w:r w:rsidRPr="00914B1D">
              <w:rPr>
                <w:rFonts w:asciiTheme="minorEastAsia" w:eastAsiaTheme="minorEastAsia" w:hAnsiTheme="minorEastAsia" w:cs="Times New Roman"/>
                <w:sz w:val="20"/>
                <w:szCs w:val="20"/>
              </w:rPr>
              <w:t>國家碳排清冊</w:t>
            </w:r>
            <w:proofErr w:type="gramEnd"/>
            <w:r w:rsidRPr="00914B1D">
              <w:rPr>
                <w:rFonts w:asciiTheme="minorEastAsia" w:eastAsiaTheme="minorEastAsia" w:hAnsiTheme="minorEastAsia" w:cs="Times New Roman"/>
                <w:sz w:val="20"/>
                <w:szCs w:val="20"/>
              </w:rPr>
              <w:t>，各產業或部門</w:t>
            </w:r>
            <w:proofErr w:type="gramStart"/>
            <w:r w:rsidRPr="00914B1D">
              <w:rPr>
                <w:rFonts w:asciiTheme="minorEastAsia" w:eastAsiaTheme="minorEastAsia" w:hAnsiTheme="minorEastAsia" w:cs="Times New Roman"/>
                <w:sz w:val="20"/>
                <w:szCs w:val="20"/>
              </w:rPr>
              <w:t>的碳排量</w:t>
            </w:r>
            <w:proofErr w:type="gramEnd"/>
            <w:r w:rsidRPr="00914B1D">
              <w:rPr>
                <w:rFonts w:asciiTheme="minorEastAsia" w:eastAsiaTheme="minorEastAsia" w:hAnsiTheme="minorEastAsia" w:cs="Times New Roman"/>
                <w:sz w:val="20"/>
                <w:szCs w:val="20"/>
              </w:rPr>
              <w:t>占比</w:t>
            </w:r>
          </w:p>
          <w:p w:rsidR="00DE737F" w:rsidRPr="00914B1D" w:rsidRDefault="00DE737F" w:rsidP="00DE737F">
            <w:pPr>
              <w:numPr>
                <w:ilvl w:val="0"/>
                <w:numId w:val="8"/>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來自調適計畫、多元經濟計畫</w:t>
            </w:r>
            <w:proofErr w:type="gramStart"/>
            <w:r w:rsidRPr="00914B1D">
              <w:rPr>
                <w:rFonts w:asciiTheme="minorEastAsia" w:eastAsiaTheme="minorEastAsia" w:hAnsiTheme="minorEastAsia" w:cs="Times New Roman"/>
                <w:sz w:val="20"/>
                <w:szCs w:val="20"/>
              </w:rPr>
              <w:t>的減排共同</w:t>
            </w:r>
            <w:proofErr w:type="gramEnd"/>
            <w:r w:rsidRPr="00914B1D">
              <w:rPr>
                <w:rFonts w:asciiTheme="minorEastAsia" w:eastAsiaTheme="minorEastAsia" w:hAnsiTheme="minorEastAsia" w:cs="Times New Roman"/>
                <w:sz w:val="20"/>
                <w:szCs w:val="20"/>
              </w:rPr>
              <w:t>效益，包含確切計畫、措施、方案的描述</w:t>
            </w:r>
          </w:p>
          <w:p w:rsidR="00DE737F" w:rsidRPr="00914B1D" w:rsidRDefault="00DE737F" w:rsidP="002C73D3">
            <w:pPr>
              <w:rPr>
                <w:rFonts w:asciiTheme="minorEastAsia" w:eastAsiaTheme="minorEastAsia" w:hAnsiTheme="minorEastAsia"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9"/>
              </w:numPr>
              <w:ind w:leftChars="72" w:left="173"/>
              <w:textAlignment w:val="baseline"/>
              <w:rPr>
                <w:rFonts w:asciiTheme="minorEastAsia" w:eastAsiaTheme="minorEastAsia" w:hAnsiTheme="minorEastAsia" w:cs="Times New Roman"/>
                <w:sz w:val="20"/>
                <w:szCs w:val="20"/>
              </w:rPr>
            </w:pPr>
            <w:proofErr w:type="gramStart"/>
            <w:r w:rsidRPr="00914B1D">
              <w:rPr>
                <w:rFonts w:asciiTheme="minorEastAsia" w:eastAsiaTheme="minorEastAsia" w:hAnsiTheme="minorEastAsia" w:cs="Times New Roman"/>
                <w:sz w:val="20"/>
                <w:szCs w:val="20"/>
              </w:rPr>
              <w:t>減碳或</w:t>
            </w:r>
            <w:proofErr w:type="gramEnd"/>
            <w:r w:rsidRPr="00914B1D">
              <w:rPr>
                <w:rFonts w:asciiTheme="minorEastAsia" w:eastAsiaTheme="minorEastAsia" w:hAnsiTheme="minorEastAsia" w:cs="Times New Roman"/>
                <w:sz w:val="20"/>
                <w:szCs w:val="20"/>
              </w:rPr>
              <w:t>其他氣候行動目標的大致描述所包括的資訊應符合聯合國氣候變遷政府間專家委員會指導原則(IPCC guidelines)</w:t>
            </w:r>
          </w:p>
          <w:p w:rsidR="00DE737F" w:rsidRPr="00914B1D" w:rsidRDefault="00DE737F" w:rsidP="00DE737F">
            <w:pPr>
              <w:numPr>
                <w:ilvl w:val="0"/>
                <w:numId w:val="9"/>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根據第21屆締約方大會文件一</w:t>
            </w:r>
            <w:proofErr w:type="gramStart"/>
            <w:r w:rsidRPr="00914B1D">
              <w:rPr>
                <w:rFonts w:asciiTheme="minorEastAsia" w:eastAsiaTheme="minorEastAsia" w:hAnsiTheme="minorEastAsia" w:cs="Times New Roman"/>
                <w:sz w:val="20"/>
                <w:szCs w:val="20"/>
              </w:rPr>
              <w:t>（</w:t>
            </w:r>
            <w:proofErr w:type="gramEnd"/>
            <w:r w:rsidRPr="00914B1D">
              <w:rPr>
                <w:rFonts w:asciiTheme="minorEastAsia" w:eastAsiaTheme="minorEastAsia" w:hAnsiTheme="minorEastAsia" w:cs="Times New Roman"/>
                <w:sz w:val="20"/>
                <w:szCs w:val="20"/>
              </w:rPr>
              <w:t>1/CP.21</w:t>
            </w:r>
            <w:proofErr w:type="gramStart"/>
            <w:r w:rsidRPr="00914B1D">
              <w:rPr>
                <w:rFonts w:asciiTheme="minorEastAsia" w:eastAsiaTheme="minorEastAsia" w:hAnsiTheme="minorEastAsia" w:cs="Times New Roman"/>
                <w:sz w:val="20"/>
                <w:szCs w:val="20"/>
              </w:rPr>
              <w:t>）</w:t>
            </w:r>
            <w:proofErr w:type="gramEnd"/>
            <w:r w:rsidRPr="00914B1D">
              <w:rPr>
                <w:rFonts w:asciiTheme="minorEastAsia" w:eastAsiaTheme="minorEastAsia" w:hAnsiTheme="minorEastAsia" w:cs="Times New Roman"/>
                <w:sz w:val="20"/>
                <w:szCs w:val="20"/>
              </w:rPr>
              <w:t>的第31條(c)和d(d)，就溫室氣體的範圍，締約方應</w:t>
            </w:r>
          </w:p>
          <w:p w:rsidR="00DE737F" w:rsidRPr="00914B1D" w:rsidRDefault="00DE737F" w:rsidP="00DE737F">
            <w:pPr>
              <w:numPr>
                <w:ilvl w:val="1"/>
                <w:numId w:val="10"/>
              </w:numPr>
              <w:ind w:leftChars="94" w:left="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盡量於NDC中包含所有人為溫室氣體排放和移除的種類；若有提到碳儲存、</w:t>
            </w:r>
            <w:proofErr w:type="gramStart"/>
            <w:r w:rsidRPr="00914B1D">
              <w:rPr>
                <w:rFonts w:asciiTheme="minorEastAsia" w:eastAsiaTheme="minorEastAsia" w:hAnsiTheme="minorEastAsia" w:cs="Times New Roman"/>
                <w:sz w:val="20"/>
                <w:szCs w:val="20"/>
              </w:rPr>
              <w:t>碳會等</w:t>
            </w:r>
            <w:proofErr w:type="gramEnd"/>
            <w:r w:rsidRPr="00914B1D">
              <w:rPr>
                <w:rFonts w:asciiTheme="minorEastAsia" w:eastAsiaTheme="minorEastAsia" w:hAnsiTheme="minorEastAsia" w:cs="Times New Roman"/>
                <w:sz w:val="20"/>
                <w:szCs w:val="20"/>
              </w:rPr>
              <w:t>活動需持續提供相關資訊</w:t>
            </w:r>
          </w:p>
          <w:p w:rsidR="00DE737F" w:rsidRPr="00914B1D" w:rsidRDefault="00DE737F" w:rsidP="00DE737F">
            <w:pPr>
              <w:numPr>
                <w:ilvl w:val="1"/>
                <w:numId w:val="10"/>
              </w:numPr>
              <w:ind w:leftChars="94" w:left="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締約方需解釋為何排除特定的溫室氣體種類</w:t>
            </w:r>
          </w:p>
          <w:p w:rsidR="00DE737F" w:rsidRPr="00914B1D" w:rsidRDefault="00DE737F" w:rsidP="002C73D3">
            <w:pPr>
              <w:rPr>
                <w:rFonts w:asciiTheme="minorEastAsia" w:eastAsiaTheme="minorEastAsia" w:hAnsiTheme="minorEastAsia" w:cs="Times New Roman"/>
              </w:rPr>
            </w:pPr>
          </w:p>
        </w:tc>
      </w:tr>
      <w:tr w:rsidR="00DE737F" w:rsidRPr="00914B1D" w:rsidTr="002C73D3">
        <w:trPr>
          <w:trHeight w:val="5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lastRenderedPageBreak/>
              <w:t xml:space="preserve">      </w:t>
            </w:r>
            <w:r w:rsidRPr="00914B1D">
              <w:rPr>
                <w:rFonts w:asciiTheme="minorEastAsia" w:eastAsiaTheme="minorEastAsia" w:hAnsiTheme="minorEastAsia" w:cs="Times New Roman"/>
                <w:b/>
                <w:bCs/>
                <w:sz w:val="20"/>
                <w:szCs w:val="20"/>
              </w:rPr>
              <w:t> D. 計畫過程 Planning Processes</w:t>
            </w:r>
          </w:p>
        </w:tc>
      </w:tr>
      <w:tr w:rsidR="00DE737F" w:rsidRPr="00914B1D" w:rsidTr="002C73D3">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r>
      <w:tr w:rsidR="00DE737F" w:rsidRPr="00914B1D" w:rsidTr="002C73D3">
        <w:trPr>
          <w:trHeight w:val="12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11"/>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籌備NDC的過程</w:t>
            </w:r>
          </w:p>
          <w:p w:rsidR="00DE737F" w:rsidRPr="00914B1D" w:rsidRDefault="00DE737F" w:rsidP="00DE737F">
            <w:pPr>
              <w:numPr>
                <w:ilvl w:val="1"/>
                <w:numId w:val="12"/>
              </w:numPr>
              <w:ind w:leftChars="72" w:left="173" w:firstLine="1"/>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準備時如何考量全球盤點(GST)的產出</w:t>
            </w:r>
          </w:p>
          <w:p w:rsidR="00DE737F" w:rsidRPr="00914B1D" w:rsidRDefault="00DE737F" w:rsidP="00DE737F">
            <w:pPr>
              <w:numPr>
                <w:ilvl w:val="1"/>
                <w:numId w:val="1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相關法規及決策過程</w:t>
            </w:r>
          </w:p>
          <w:p w:rsidR="00DE737F" w:rsidRPr="00914B1D" w:rsidRDefault="00DE737F" w:rsidP="00DE737F">
            <w:pPr>
              <w:numPr>
                <w:ilvl w:val="1"/>
                <w:numId w:val="1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是否有多元利害關係者的參與</w:t>
            </w:r>
            <w:proofErr w:type="gramStart"/>
            <w:r w:rsidRPr="00914B1D">
              <w:rPr>
                <w:rFonts w:asciiTheme="minorEastAsia" w:eastAsiaTheme="minorEastAsia" w:hAnsiTheme="minorEastAsia" w:cs="Times New Roman"/>
                <w:sz w:val="20"/>
                <w:szCs w:val="20"/>
              </w:rPr>
              <w:t>（</w:t>
            </w:r>
            <w:proofErr w:type="gramEnd"/>
            <w:r w:rsidRPr="00914B1D">
              <w:rPr>
                <w:rFonts w:asciiTheme="minorEastAsia" w:eastAsiaTheme="minorEastAsia" w:hAnsiTheme="minorEastAsia" w:cs="Times New Roman"/>
                <w:sz w:val="20"/>
                <w:szCs w:val="20"/>
              </w:rPr>
              <w:t>ex. 地方社區、原住民族群、性別主流化</w:t>
            </w:r>
            <w:proofErr w:type="gramStart"/>
            <w:r w:rsidRPr="00914B1D">
              <w:rPr>
                <w:rFonts w:asciiTheme="minorEastAsia" w:eastAsiaTheme="minorEastAsia" w:hAnsiTheme="minorEastAsia" w:cs="Times New Roman"/>
                <w:sz w:val="20"/>
                <w:szCs w:val="20"/>
              </w:rPr>
              <w:t>）</w:t>
            </w:r>
            <w:proofErr w:type="gramEnd"/>
          </w:p>
          <w:p w:rsidR="00DE737F" w:rsidRPr="00914B1D" w:rsidRDefault="00DE737F" w:rsidP="00DE737F">
            <w:pPr>
              <w:numPr>
                <w:ilvl w:val="1"/>
                <w:numId w:val="1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數據資料分析（歷史資料、預估資料等）</w:t>
            </w:r>
          </w:p>
          <w:p w:rsidR="00DE737F" w:rsidRPr="00914B1D" w:rsidRDefault="00DE737F" w:rsidP="00DE737F">
            <w:pPr>
              <w:numPr>
                <w:ilvl w:val="1"/>
                <w:numId w:val="1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針對國家現況如地理、氣候、經濟、永續發展、貧窮程度的調查</w:t>
            </w:r>
          </w:p>
          <w:p w:rsidR="00DE737F" w:rsidRPr="00914B1D" w:rsidRDefault="00DE737F" w:rsidP="00DE737F">
            <w:pPr>
              <w:numPr>
                <w:ilvl w:val="1"/>
                <w:numId w:val="1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與NDC籌備相關的優良案例或經驗</w:t>
            </w:r>
          </w:p>
          <w:p w:rsidR="00DE737F" w:rsidRPr="00914B1D" w:rsidRDefault="00DE737F" w:rsidP="00DE737F">
            <w:pPr>
              <w:numPr>
                <w:ilvl w:val="1"/>
                <w:numId w:val="1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考量到國家本身的發展情況，締約方加入巴黎協議時的期望或希望優先處理之議題</w:t>
            </w:r>
            <w:proofErr w:type="gramStart"/>
            <w:r w:rsidRPr="00914B1D">
              <w:rPr>
                <w:rFonts w:asciiTheme="minorEastAsia" w:eastAsiaTheme="minorEastAsia" w:hAnsiTheme="minorEastAsia" w:cs="Times New Roman"/>
                <w:sz w:val="20"/>
                <w:szCs w:val="20"/>
              </w:rPr>
              <w:t>（</w:t>
            </w:r>
            <w:proofErr w:type="gramEnd"/>
            <w:r w:rsidRPr="00914B1D">
              <w:rPr>
                <w:rFonts w:asciiTheme="minorEastAsia" w:eastAsiaTheme="minorEastAsia" w:hAnsiTheme="minorEastAsia" w:cs="Times New Roman"/>
                <w:sz w:val="20"/>
                <w:szCs w:val="20"/>
              </w:rPr>
              <w:t>ex. 消除貧窮、永續發展</w:t>
            </w:r>
            <w:proofErr w:type="gramStart"/>
            <w:r w:rsidRPr="00914B1D">
              <w:rPr>
                <w:rFonts w:asciiTheme="minorEastAsia" w:eastAsiaTheme="minorEastAsia" w:hAnsiTheme="minorEastAsia" w:cs="Times New Roman"/>
                <w:sz w:val="20"/>
                <w:szCs w:val="20"/>
              </w:rPr>
              <w:t>）</w:t>
            </w:r>
            <w:proofErr w:type="gramEnd"/>
          </w:p>
          <w:p w:rsidR="00DE737F" w:rsidRPr="00914B1D" w:rsidRDefault="00DE737F" w:rsidP="00DE737F">
            <w:pPr>
              <w:numPr>
                <w:ilvl w:val="1"/>
                <w:numId w:val="1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NDC規劃如何與國內長期低碳發展政策</w:t>
            </w:r>
            <w:proofErr w:type="gramStart"/>
            <w:r w:rsidRPr="00914B1D">
              <w:rPr>
                <w:rFonts w:asciiTheme="minorEastAsia" w:eastAsiaTheme="minorEastAsia" w:hAnsiTheme="minorEastAsia" w:cs="Times New Roman"/>
                <w:sz w:val="20"/>
                <w:szCs w:val="20"/>
              </w:rPr>
              <w:t>（</w:t>
            </w:r>
            <w:proofErr w:type="gramEnd"/>
            <w:r w:rsidRPr="00914B1D">
              <w:rPr>
                <w:rFonts w:asciiTheme="minorEastAsia" w:eastAsiaTheme="minorEastAsia" w:hAnsiTheme="minorEastAsia" w:cs="Times New Roman"/>
                <w:sz w:val="20"/>
                <w:szCs w:val="20"/>
              </w:rPr>
              <w:t>根據PA 4-19)相配合</w:t>
            </w:r>
          </w:p>
          <w:p w:rsidR="00DE737F" w:rsidRPr="00914B1D" w:rsidRDefault="00DE737F" w:rsidP="00DE737F">
            <w:pPr>
              <w:numPr>
                <w:ilvl w:val="0"/>
                <w:numId w:val="12"/>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如何執行NDC</w:t>
            </w:r>
          </w:p>
          <w:p w:rsidR="00DE737F" w:rsidRPr="00914B1D" w:rsidRDefault="00DE737F" w:rsidP="00DE737F">
            <w:pPr>
              <w:numPr>
                <w:ilvl w:val="1"/>
                <w:numId w:val="13"/>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制度、行政組織的調整（包括NDC的執行機關）</w:t>
            </w:r>
          </w:p>
          <w:p w:rsidR="00DE737F" w:rsidRPr="00914B1D" w:rsidRDefault="00DE737F" w:rsidP="00DE737F">
            <w:pPr>
              <w:numPr>
                <w:ilvl w:val="1"/>
                <w:numId w:val="13"/>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是否包括多元利害關係者</w:t>
            </w:r>
          </w:p>
          <w:p w:rsidR="00DE737F" w:rsidRPr="00914B1D" w:rsidRDefault="00DE737F" w:rsidP="00DE737F">
            <w:pPr>
              <w:numPr>
                <w:ilvl w:val="1"/>
                <w:numId w:val="13"/>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締約國可運用的特殊資訊，包括</w:t>
            </w:r>
          </w:p>
          <w:p w:rsidR="00DE737F" w:rsidRPr="00914B1D" w:rsidRDefault="00DE737F" w:rsidP="00DE737F">
            <w:pPr>
              <w:pStyle w:val="a3"/>
              <w:numPr>
                <w:ilvl w:val="0"/>
                <w:numId w:val="43"/>
              </w:numPr>
              <w:ind w:leftChars="0"/>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同意合作以促進減緩目標及定期提交NDC</w:t>
            </w:r>
            <w:proofErr w:type="gramStart"/>
            <w:r w:rsidRPr="00914B1D">
              <w:rPr>
                <w:rFonts w:asciiTheme="minorEastAsia" w:eastAsiaTheme="minorEastAsia" w:hAnsiTheme="minorEastAsia" w:cs="Times New Roman"/>
                <w:sz w:val="20"/>
                <w:szCs w:val="20"/>
              </w:rPr>
              <w:t>（</w:t>
            </w:r>
            <w:proofErr w:type="gramEnd"/>
            <w:r w:rsidRPr="00914B1D">
              <w:rPr>
                <w:rFonts w:asciiTheme="minorEastAsia" w:eastAsiaTheme="minorEastAsia" w:hAnsiTheme="minorEastAsia" w:cs="Times New Roman"/>
                <w:sz w:val="20"/>
                <w:szCs w:val="20"/>
              </w:rPr>
              <w:t>PA 4-2)的區域經濟整合組織以及其會員國家。</w:t>
            </w:r>
          </w:p>
          <w:p w:rsidR="00DE737F" w:rsidRPr="00914B1D" w:rsidRDefault="00DE737F" w:rsidP="00DE737F">
            <w:pPr>
              <w:pStyle w:val="a3"/>
              <w:numPr>
                <w:ilvl w:val="0"/>
                <w:numId w:val="43"/>
              </w:numPr>
              <w:ind w:leftChars="0"/>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同意共同行動使與巴黎協議第4條第16-18段一致的締約方，以及共同行動的期程</w:t>
            </w:r>
          </w:p>
          <w:p w:rsidR="00DE737F" w:rsidRPr="00914B1D" w:rsidRDefault="00DE737F" w:rsidP="00DE737F">
            <w:pPr>
              <w:numPr>
                <w:ilvl w:val="0"/>
                <w:numId w:val="13"/>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追蹤NDC執行成果的機制</w:t>
            </w:r>
          </w:p>
          <w:p w:rsidR="00DE737F" w:rsidRPr="00914B1D" w:rsidRDefault="00DE737F" w:rsidP="00DE737F">
            <w:pPr>
              <w:numPr>
                <w:ilvl w:val="1"/>
                <w:numId w:val="14"/>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國內MRV系統</w:t>
            </w:r>
          </w:p>
          <w:p w:rsidR="00DE737F" w:rsidRPr="00914B1D" w:rsidRDefault="00DE737F" w:rsidP="00DE737F">
            <w:pPr>
              <w:numPr>
                <w:ilvl w:val="0"/>
                <w:numId w:val="14"/>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有把調適、多元經濟的</w:t>
            </w:r>
            <w:proofErr w:type="gramStart"/>
            <w:r w:rsidRPr="00914B1D">
              <w:rPr>
                <w:rFonts w:asciiTheme="minorEastAsia" w:eastAsiaTheme="minorEastAsia" w:hAnsiTheme="minorEastAsia" w:cs="Times New Roman"/>
                <w:sz w:val="20"/>
                <w:szCs w:val="20"/>
              </w:rPr>
              <w:t>減碳共同</w:t>
            </w:r>
            <w:proofErr w:type="gramEnd"/>
            <w:r w:rsidRPr="00914B1D">
              <w:rPr>
                <w:rFonts w:asciiTheme="minorEastAsia" w:eastAsiaTheme="minorEastAsia" w:hAnsiTheme="minorEastAsia" w:cs="Times New Roman"/>
                <w:sz w:val="20"/>
                <w:szCs w:val="20"/>
              </w:rPr>
              <w:t>效益納入NDC的國家，需要提供以下資訊</w:t>
            </w:r>
          </w:p>
          <w:p w:rsidR="00DE737F" w:rsidRPr="00914B1D" w:rsidRDefault="00DE737F" w:rsidP="00DE737F">
            <w:pPr>
              <w:numPr>
                <w:ilvl w:val="1"/>
                <w:numId w:val="15"/>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在準備或執行NDC時，其所造成的經濟或社會效應如何被考量</w:t>
            </w:r>
          </w:p>
          <w:p w:rsidR="00DE737F" w:rsidRPr="00914B1D" w:rsidRDefault="00DE737F" w:rsidP="00DE737F">
            <w:pPr>
              <w:numPr>
                <w:ilvl w:val="1"/>
                <w:numId w:val="15"/>
              </w:numPr>
              <w:ind w:leftChars="13" w:left="31" w:firstLineChars="71" w:firstLine="142"/>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為貢獻</w:t>
            </w:r>
            <w:proofErr w:type="gramStart"/>
            <w:r w:rsidRPr="00914B1D">
              <w:rPr>
                <w:rFonts w:asciiTheme="minorEastAsia" w:eastAsiaTheme="minorEastAsia" w:hAnsiTheme="minorEastAsia" w:cs="Times New Roman"/>
                <w:sz w:val="20"/>
                <w:szCs w:val="20"/>
              </w:rPr>
              <w:t>到減碳共同</w:t>
            </w:r>
            <w:proofErr w:type="gramEnd"/>
            <w:r w:rsidRPr="00914B1D">
              <w:rPr>
                <w:rFonts w:asciiTheme="minorEastAsia" w:eastAsiaTheme="minorEastAsia" w:hAnsiTheme="minorEastAsia" w:cs="Times New Roman"/>
                <w:sz w:val="20"/>
                <w:szCs w:val="20"/>
              </w:rPr>
              <w:t>效益所執行的特別計畫、方法或活動：包括可同時產生</w:t>
            </w:r>
            <w:proofErr w:type="gramStart"/>
            <w:r w:rsidRPr="00914B1D">
              <w:rPr>
                <w:rFonts w:asciiTheme="minorEastAsia" w:eastAsiaTheme="minorEastAsia" w:hAnsiTheme="minorEastAsia" w:cs="Times New Roman"/>
                <w:sz w:val="20"/>
                <w:szCs w:val="20"/>
              </w:rPr>
              <w:t>減碳共同</w:t>
            </w:r>
            <w:proofErr w:type="gramEnd"/>
            <w:r w:rsidRPr="00914B1D">
              <w:rPr>
                <w:rFonts w:asciiTheme="minorEastAsia" w:eastAsiaTheme="minorEastAsia" w:hAnsiTheme="minorEastAsia" w:cs="Times New Roman"/>
                <w:sz w:val="20"/>
                <w:szCs w:val="20"/>
              </w:rPr>
              <w:t>效益的調適計畫(計畫可以涵蓋</w:t>
            </w:r>
          </w:p>
        </w:tc>
      </w:tr>
      <w:tr w:rsidR="00DE737F" w:rsidRPr="00914B1D" w:rsidTr="002C73D3">
        <w:trPr>
          <w:trHeight w:val="9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E. 架設和方法論（包括人為溫室氣體排及移除的計算、當責）Assumptions and methodological approaches, including those for estimating and accounting for anthropogenic greenhouse gas emissions and, as appropriate, removals</w:t>
            </w:r>
          </w:p>
        </w:tc>
      </w:tr>
      <w:tr w:rsidR="00DE737F" w:rsidRPr="00914B1D" w:rsidTr="002C73D3">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r>
      <w:tr w:rsidR="00DE737F" w:rsidRPr="00914B1D" w:rsidTr="002C73D3">
        <w:trPr>
          <w:trHeight w:val="12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16"/>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與國際市場機制相關</w:t>
            </w:r>
          </w:p>
          <w:p w:rsidR="00DE737F" w:rsidRPr="00914B1D" w:rsidRDefault="00DE737F" w:rsidP="00DE737F">
            <w:pPr>
              <w:numPr>
                <w:ilvl w:val="1"/>
                <w:numId w:val="17"/>
              </w:numPr>
              <w:ind w:leftChars="131" w:left="31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締約國是否意圖使用或轉移「國際可</w:t>
            </w:r>
            <w:proofErr w:type="gramStart"/>
            <w:r w:rsidRPr="00914B1D">
              <w:rPr>
                <w:rFonts w:asciiTheme="minorEastAsia" w:eastAsiaTheme="minorEastAsia" w:hAnsiTheme="minorEastAsia" w:cs="Times New Roman"/>
                <w:sz w:val="20"/>
                <w:szCs w:val="20"/>
              </w:rPr>
              <w:t>轉換減排成果</w:t>
            </w:r>
            <w:proofErr w:type="gramEnd"/>
            <w:r w:rsidRPr="00914B1D">
              <w:rPr>
                <w:rFonts w:asciiTheme="minorEastAsia" w:eastAsiaTheme="minorEastAsia" w:hAnsiTheme="minorEastAsia" w:cs="Times New Roman"/>
                <w:sz w:val="20"/>
                <w:szCs w:val="20"/>
              </w:rPr>
              <w:t>」（ITMOs）</w:t>
            </w:r>
          </w:p>
          <w:p w:rsidR="00DE737F" w:rsidRPr="00914B1D" w:rsidRDefault="00DE737F" w:rsidP="00DE737F">
            <w:pPr>
              <w:numPr>
                <w:ilvl w:val="1"/>
                <w:numId w:val="17"/>
              </w:numPr>
              <w:ind w:leftChars="131" w:left="31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若欲使用ITMOs，是以什麼政策或法規為依據</w:t>
            </w:r>
          </w:p>
          <w:p w:rsidR="00DE737F" w:rsidRPr="00914B1D" w:rsidRDefault="00DE737F" w:rsidP="00DE737F">
            <w:pPr>
              <w:numPr>
                <w:ilvl w:val="1"/>
                <w:numId w:val="17"/>
              </w:numPr>
              <w:ind w:leftChars="131" w:left="31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若欲使用ITMOs，透過這個方式達到</w:t>
            </w:r>
            <w:proofErr w:type="gramStart"/>
            <w:r w:rsidRPr="00914B1D">
              <w:rPr>
                <w:rFonts w:asciiTheme="minorEastAsia" w:eastAsiaTheme="minorEastAsia" w:hAnsiTheme="minorEastAsia" w:cs="Times New Roman"/>
                <w:sz w:val="20"/>
                <w:szCs w:val="20"/>
              </w:rPr>
              <w:t>的減排比例</w:t>
            </w:r>
            <w:proofErr w:type="gramEnd"/>
            <w:r w:rsidRPr="00914B1D">
              <w:rPr>
                <w:rFonts w:asciiTheme="minorEastAsia" w:eastAsiaTheme="minorEastAsia" w:hAnsiTheme="minorEastAsia" w:cs="Times New Roman"/>
                <w:sz w:val="20"/>
                <w:szCs w:val="20"/>
              </w:rPr>
              <w:t>是否有任何限制</w:t>
            </w:r>
          </w:p>
          <w:p w:rsidR="00DE737F" w:rsidRPr="00914B1D" w:rsidRDefault="00DE737F" w:rsidP="00DE737F">
            <w:pPr>
              <w:numPr>
                <w:ilvl w:val="0"/>
                <w:numId w:val="17"/>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針對土地部門(land sector)溫室氣體排放和移除的計算假設</w:t>
            </w:r>
          </w:p>
          <w:p w:rsidR="00DE737F" w:rsidRPr="00914B1D" w:rsidRDefault="00DE737F" w:rsidP="00DE737F">
            <w:pPr>
              <w:numPr>
                <w:ilvl w:val="1"/>
                <w:numId w:val="18"/>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lastRenderedPageBreak/>
              <w:t>土地部門的溫室氣體排放和移除如何被考量及檢查，例如包含在更廣泛的目標中、被歸類為某個部門目標、用以抵銷總體目標內的排放，或是並不包含在目標之中</w:t>
            </w:r>
          </w:p>
          <w:p w:rsidR="00DE737F" w:rsidRPr="00914B1D" w:rsidRDefault="00DE737F" w:rsidP="00DE737F">
            <w:pPr>
              <w:numPr>
                <w:ilvl w:val="1"/>
                <w:numId w:val="18"/>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若土地部門被包括在溫室氣體排放和移除中，須包括土地部門的範圍，例如不同類型的土地利用，以及各種類型淨排放和移除量</w:t>
            </w:r>
            <w:proofErr w:type="gramStart"/>
            <w:r w:rsidRPr="00914B1D">
              <w:rPr>
                <w:rFonts w:asciiTheme="minorEastAsia" w:eastAsiaTheme="minorEastAsia" w:hAnsiTheme="minorEastAsia" w:cs="Times New Roman"/>
                <w:sz w:val="20"/>
                <w:szCs w:val="20"/>
              </w:rPr>
              <w:t>佔</w:t>
            </w:r>
            <w:proofErr w:type="gramEnd"/>
            <w:r w:rsidRPr="00914B1D">
              <w:rPr>
                <w:rFonts w:asciiTheme="minorEastAsia" w:eastAsiaTheme="minorEastAsia" w:hAnsiTheme="minorEastAsia" w:cs="Times New Roman"/>
                <w:sz w:val="20"/>
                <w:szCs w:val="20"/>
              </w:rPr>
              <w:t>總體土地利用淨排放和移除的百分比</w:t>
            </w:r>
          </w:p>
          <w:p w:rsidR="00DE737F" w:rsidRPr="00914B1D" w:rsidRDefault="00DE737F" w:rsidP="00DE737F">
            <w:pPr>
              <w:numPr>
                <w:ilvl w:val="1"/>
                <w:numId w:val="18"/>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若土地部門被包括在溫室氣體排放和移除中，</w:t>
            </w:r>
            <w:proofErr w:type="gramStart"/>
            <w:r w:rsidRPr="00914B1D">
              <w:rPr>
                <w:rFonts w:asciiTheme="minorEastAsia" w:eastAsiaTheme="minorEastAsia" w:hAnsiTheme="minorEastAsia" w:cs="Times New Roman"/>
                <w:sz w:val="20"/>
                <w:szCs w:val="20"/>
              </w:rPr>
              <w:t>須載明</w:t>
            </w:r>
            <w:proofErr w:type="gramEnd"/>
            <w:r w:rsidRPr="00914B1D">
              <w:rPr>
                <w:rFonts w:asciiTheme="minorEastAsia" w:eastAsiaTheme="minorEastAsia" w:hAnsiTheme="minorEastAsia" w:cs="Times New Roman"/>
                <w:sz w:val="20"/>
                <w:szCs w:val="20"/>
              </w:rPr>
              <w:t>計算的方法及假設</w:t>
            </w:r>
            <w:proofErr w:type="gramStart"/>
            <w:r w:rsidRPr="00914B1D">
              <w:rPr>
                <w:rFonts w:asciiTheme="minorEastAsia" w:eastAsiaTheme="minorEastAsia" w:hAnsiTheme="minorEastAsia" w:cs="Times New Roman"/>
                <w:sz w:val="20"/>
                <w:szCs w:val="20"/>
              </w:rPr>
              <w:t>（</w:t>
            </w:r>
            <w:proofErr w:type="gramEnd"/>
            <w:r w:rsidRPr="00914B1D">
              <w:rPr>
                <w:rFonts w:asciiTheme="minorEastAsia" w:eastAsiaTheme="minorEastAsia" w:hAnsiTheme="minorEastAsia" w:cs="Times New Roman"/>
                <w:sz w:val="20"/>
                <w:szCs w:val="20"/>
              </w:rPr>
              <w:t>是activity base還是land base)，也可包括所採用的方法論和政策假設</w:t>
            </w:r>
          </w:p>
          <w:p w:rsidR="00DE737F" w:rsidRPr="00914B1D" w:rsidRDefault="00DE737F" w:rsidP="00DE737F">
            <w:pPr>
              <w:numPr>
                <w:ilvl w:val="1"/>
                <w:numId w:val="18"/>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任何計算和量化生態干擾或歷史效應(legacy effects)的方法論</w:t>
            </w:r>
          </w:p>
          <w:p w:rsidR="00DE737F" w:rsidRPr="00914B1D" w:rsidRDefault="00DE737F" w:rsidP="00DE737F">
            <w:pPr>
              <w:numPr>
                <w:ilvl w:val="1"/>
                <w:numId w:val="18"/>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任何其他的計算方式、假設及方法論</w:t>
            </w:r>
          </w:p>
          <w:p w:rsidR="00DE737F" w:rsidRPr="00914B1D" w:rsidRDefault="00DE737F" w:rsidP="00DE737F">
            <w:pPr>
              <w:numPr>
                <w:ilvl w:val="0"/>
                <w:numId w:val="18"/>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相對於預期基線情境的溫室氣體減量目標</w:t>
            </w:r>
          </w:p>
          <w:p w:rsidR="00DE737F" w:rsidRPr="00914B1D" w:rsidRDefault="00DE737F" w:rsidP="00DE737F">
            <w:pPr>
              <w:numPr>
                <w:ilvl w:val="1"/>
                <w:numId w:val="19"/>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基線情境下，目標年預期的總排放量</w:t>
            </w:r>
          </w:p>
          <w:p w:rsidR="00DE737F" w:rsidRPr="00914B1D" w:rsidRDefault="00DE737F" w:rsidP="00DE737F">
            <w:pPr>
              <w:numPr>
                <w:ilvl w:val="1"/>
                <w:numId w:val="19"/>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基線情境是固定或可變動的</w:t>
            </w:r>
          </w:p>
          <w:p w:rsidR="00DE737F" w:rsidRPr="00914B1D" w:rsidRDefault="00DE737F" w:rsidP="00DE737F">
            <w:pPr>
              <w:numPr>
                <w:ilvl w:val="1"/>
                <w:numId w:val="19"/>
              </w:numPr>
              <w:ind w:leftChars="72" w:left="17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推斷基線情境所使用的方法論，包括</w:t>
            </w:r>
          </w:p>
          <w:p w:rsidR="00DE737F" w:rsidRPr="00914B1D" w:rsidRDefault="00DE737F" w:rsidP="00DE737F">
            <w:pPr>
              <w:pStyle w:val="a3"/>
              <w:numPr>
                <w:ilvl w:val="0"/>
                <w:numId w:val="44"/>
              </w:numPr>
              <w:ind w:leftChars="0"/>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推斷時所使用的模型</w:t>
            </w:r>
          </w:p>
          <w:p w:rsidR="00DE737F" w:rsidRPr="00914B1D" w:rsidRDefault="00DE737F" w:rsidP="00DE737F">
            <w:pPr>
              <w:pStyle w:val="a3"/>
              <w:numPr>
                <w:ilvl w:val="0"/>
                <w:numId w:val="44"/>
              </w:numPr>
              <w:ind w:leftChars="0"/>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包含在基線情境中的政策的中斷年</w:t>
            </w:r>
          </w:p>
          <w:p w:rsidR="00DE737F" w:rsidRPr="00914B1D" w:rsidRDefault="00DE737F" w:rsidP="00DE737F">
            <w:pPr>
              <w:pStyle w:val="a3"/>
              <w:numPr>
                <w:ilvl w:val="0"/>
                <w:numId w:val="44"/>
              </w:numPr>
              <w:ind w:leftChars="0"/>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任何排除在基線情境之外的重要政策</w:t>
            </w:r>
          </w:p>
          <w:p w:rsidR="00DE737F" w:rsidRPr="00914B1D" w:rsidRDefault="00DE737F" w:rsidP="00DE737F">
            <w:pPr>
              <w:pStyle w:val="a3"/>
              <w:numPr>
                <w:ilvl w:val="0"/>
                <w:numId w:val="44"/>
              </w:numPr>
              <w:ind w:leftChars="0"/>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促使排放增強的因素或單位(emissions drivers)以及相關假設和數據來源</w:t>
            </w:r>
          </w:p>
          <w:p w:rsidR="00DE737F" w:rsidRPr="00914B1D" w:rsidRDefault="00DE737F" w:rsidP="00DE737F">
            <w:pPr>
              <w:numPr>
                <w:ilvl w:val="1"/>
                <w:numId w:val="19"/>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若是動態的基線情境，須說明在什麼樣的情況下基線會被重新計算;以及是否有任何重要的門檻決定促使emissions drivers的改變是否足夠重要到能夠正當化基線情境的重新計算</w:t>
            </w:r>
          </w:p>
          <w:p w:rsidR="00DE737F" w:rsidRPr="00914B1D" w:rsidRDefault="00DE737F" w:rsidP="00DE737F">
            <w:pPr>
              <w:numPr>
                <w:ilvl w:val="0"/>
                <w:numId w:val="19"/>
              </w:numPr>
              <w:ind w:firstLineChars="87" w:firstLine="174"/>
              <w:textAlignment w:val="baseline"/>
              <w:rPr>
                <w:rFonts w:asciiTheme="minorEastAsia" w:eastAsiaTheme="minorEastAsia" w:hAnsiTheme="minorEastAsia" w:cs="Times New Roman"/>
                <w:sz w:val="20"/>
                <w:szCs w:val="20"/>
              </w:rPr>
            </w:pPr>
            <w:proofErr w:type="gramStart"/>
            <w:r w:rsidRPr="00914B1D">
              <w:rPr>
                <w:rFonts w:asciiTheme="minorEastAsia" w:eastAsiaTheme="minorEastAsia" w:hAnsiTheme="minorEastAsia" w:cs="Times New Roman"/>
                <w:sz w:val="20"/>
                <w:szCs w:val="20"/>
              </w:rPr>
              <w:t>相對於碳排放</w:t>
            </w:r>
            <w:proofErr w:type="gramEnd"/>
            <w:r w:rsidRPr="00914B1D">
              <w:rPr>
                <w:rFonts w:asciiTheme="minorEastAsia" w:eastAsiaTheme="minorEastAsia" w:hAnsiTheme="minorEastAsia" w:cs="Times New Roman"/>
                <w:sz w:val="20"/>
                <w:szCs w:val="20"/>
              </w:rPr>
              <w:t>強度的溫室氣體減量目標</w:t>
            </w:r>
          </w:p>
          <w:p w:rsidR="00DE737F" w:rsidRPr="00914B1D" w:rsidRDefault="00DE737F" w:rsidP="00DE737F">
            <w:pPr>
              <w:numPr>
                <w:ilvl w:val="1"/>
                <w:numId w:val="20"/>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基準年的經濟發展程度(例如GDP)</w:t>
            </w:r>
          </w:p>
          <w:p w:rsidR="00DE737F" w:rsidRPr="00914B1D" w:rsidRDefault="00DE737F" w:rsidP="00DE737F">
            <w:pPr>
              <w:numPr>
                <w:ilvl w:val="1"/>
                <w:numId w:val="20"/>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目標年的預期經濟發展程度</w:t>
            </w:r>
          </w:p>
          <w:p w:rsidR="00DE737F" w:rsidRPr="00914B1D" w:rsidRDefault="00DE737F" w:rsidP="00DE737F">
            <w:pPr>
              <w:numPr>
                <w:ilvl w:val="1"/>
                <w:numId w:val="20"/>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以上兩項</w:t>
            </w:r>
            <w:proofErr w:type="gramStart"/>
            <w:r w:rsidRPr="00914B1D">
              <w:rPr>
                <w:rFonts w:asciiTheme="minorEastAsia" w:eastAsiaTheme="minorEastAsia" w:hAnsiTheme="minorEastAsia" w:cs="Times New Roman"/>
                <w:sz w:val="20"/>
                <w:szCs w:val="20"/>
              </w:rPr>
              <w:t>資訊需載明</w:t>
            </w:r>
            <w:proofErr w:type="gramEnd"/>
            <w:r w:rsidRPr="00914B1D">
              <w:rPr>
                <w:rFonts w:asciiTheme="minorEastAsia" w:eastAsiaTheme="minorEastAsia" w:hAnsiTheme="minorEastAsia" w:cs="Times New Roman"/>
                <w:sz w:val="20"/>
                <w:szCs w:val="20"/>
              </w:rPr>
              <w:t>單位及資料來源</w:t>
            </w:r>
          </w:p>
          <w:p w:rsidR="00DE737F" w:rsidRPr="00914B1D" w:rsidRDefault="00DE737F" w:rsidP="00DE737F">
            <w:pPr>
              <w:numPr>
                <w:ilvl w:val="0"/>
                <w:numId w:val="20"/>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締約國在其NDCs中包含氣候行動時，</w:t>
            </w:r>
            <w:proofErr w:type="gramStart"/>
            <w:r w:rsidRPr="00914B1D">
              <w:rPr>
                <w:rFonts w:asciiTheme="minorEastAsia" w:eastAsiaTheme="minorEastAsia" w:hAnsiTheme="minorEastAsia" w:cs="Times New Roman"/>
                <w:sz w:val="20"/>
                <w:szCs w:val="20"/>
              </w:rPr>
              <w:t>需載明</w:t>
            </w:r>
            <w:proofErr w:type="gramEnd"/>
            <w:r w:rsidRPr="00914B1D">
              <w:rPr>
                <w:rFonts w:asciiTheme="minorEastAsia" w:eastAsiaTheme="minorEastAsia" w:hAnsiTheme="minorEastAsia" w:cs="Times New Roman"/>
                <w:sz w:val="20"/>
                <w:szCs w:val="20"/>
              </w:rPr>
              <w:t>：</w:t>
            </w:r>
          </w:p>
          <w:p w:rsidR="00DE737F" w:rsidRPr="00914B1D" w:rsidRDefault="00DE737F" w:rsidP="00DE737F">
            <w:pPr>
              <w:numPr>
                <w:ilvl w:val="1"/>
                <w:numId w:val="21"/>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此行動對溫室氣體排放的影響估計</w:t>
            </w:r>
            <w:r w:rsidRPr="00914B1D">
              <w:rPr>
                <w:rFonts w:asciiTheme="minorEastAsia" w:eastAsiaTheme="minorEastAsia" w:hAnsiTheme="minorEastAsia" w:cs="Times New Roman"/>
                <w:b/>
                <w:sz w:val="20"/>
                <w:szCs w:val="20"/>
              </w:rPr>
              <w:t>（及/或非溫室氣體指標）</w:t>
            </w:r>
          </w:p>
          <w:p w:rsidR="00DE737F" w:rsidRPr="00914B1D" w:rsidRDefault="00DE737F" w:rsidP="00DE737F">
            <w:pPr>
              <w:numPr>
                <w:ilvl w:val="1"/>
                <w:numId w:val="21"/>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估計影響所使用的方法論，包括基線情境及其他假設</w:t>
            </w:r>
          </w:p>
          <w:p w:rsidR="00DE737F" w:rsidRPr="00914B1D" w:rsidRDefault="00DE737F" w:rsidP="00DE737F">
            <w:pPr>
              <w:numPr>
                <w:ilvl w:val="1"/>
                <w:numId w:val="21"/>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所估計的影響有哪些不確定性</w:t>
            </w:r>
          </w:p>
          <w:p w:rsidR="00DE737F" w:rsidRPr="00914B1D" w:rsidRDefault="00DE737F" w:rsidP="00DE737F">
            <w:pPr>
              <w:numPr>
                <w:ilvl w:val="1"/>
                <w:numId w:val="21"/>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與其他政策或行動的潛在互動</w:t>
            </w:r>
          </w:p>
        </w:tc>
      </w:tr>
      <w:tr w:rsidR="00DE737F" w:rsidRPr="00914B1D" w:rsidTr="002C73D3">
        <w:trPr>
          <w:trHeight w:val="66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b/>
                <w:bCs/>
                <w:sz w:val="20"/>
                <w:szCs w:val="20"/>
              </w:rPr>
              <w:lastRenderedPageBreak/>
              <w:t>F. 考量到國家發展情形，說明其NDC為何是公平且具野心的</w:t>
            </w:r>
            <w:r w:rsidRPr="00914B1D">
              <w:rPr>
                <w:rFonts w:asciiTheme="minorEastAsia" w:eastAsiaTheme="minorEastAsia" w:hAnsiTheme="minorEastAsia" w:cs="Times New Roman"/>
                <w:sz w:val="20"/>
                <w:szCs w:val="20"/>
              </w:rPr>
              <w:t xml:space="preserve"> How the parties considers that its NDC is fair and ambitious, in light of its national circumstances</w:t>
            </w:r>
          </w:p>
        </w:tc>
      </w:tr>
      <w:tr w:rsidR="00DE737F" w:rsidRPr="00914B1D" w:rsidTr="002C73D3">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22"/>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締約方如何促進巴黎協議</w:t>
            </w:r>
          </w:p>
          <w:p w:rsidR="00DE737F" w:rsidRPr="00914B1D" w:rsidRDefault="00DE737F" w:rsidP="00DE737F">
            <w:pPr>
              <w:numPr>
                <w:ilvl w:val="0"/>
                <w:numId w:val="22"/>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締約方實踐公平性的努力，例如締約方用以考量和實踐衡平(equity and fairness)的概念和方法論</w:t>
            </w:r>
          </w:p>
          <w:p w:rsidR="00DE737F" w:rsidRPr="00914B1D" w:rsidRDefault="00DE737F" w:rsidP="00DE737F">
            <w:pPr>
              <w:numPr>
                <w:ilvl w:val="0"/>
                <w:numId w:val="22"/>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締約方如何呼應巴黎協議第4條第3、第4及第6款</w:t>
            </w:r>
          </w:p>
          <w:p w:rsidR="00DE737F" w:rsidRPr="00914B1D" w:rsidRDefault="00DE737F" w:rsidP="00DE737F">
            <w:pPr>
              <w:numPr>
                <w:ilvl w:val="0"/>
                <w:numId w:val="22"/>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lastRenderedPageBreak/>
              <w:t>若有關連的話，亦須提供地理、氣候及經濟特性</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23"/>
              </w:numPr>
              <w:ind w:firstLineChars="113" w:firstLine="226"/>
              <w:textAlignment w:val="baseline"/>
              <w:rPr>
                <w:rFonts w:asciiTheme="minorEastAsia" w:eastAsiaTheme="minorEastAsia" w:hAnsiTheme="minorEastAsia" w:cs="Times New Roman"/>
                <w:b/>
                <w:bCs/>
                <w:sz w:val="20"/>
                <w:szCs w:val="20"/>
              </w:rPr>
            </w:pPr>
            <w:r w:rsidRPr="00914B1D">
              <w:rPr>
                <w:rFonts w:asciiTheme="minorEastAsia" w:eastAsiaTheme="minorEastAsia" w:hAnsiTheme="minorEastAsia" w:cs="Times New Roman"/>
                <w:b/>
                <w:bCs/>
                <w:sz w:val="20"/>
                <w:szCs w:val="20"/>
              </w:rPr>
              <w:lastRenderedPageBreak/>
              <w:t>與公平性(fairness)相關的多樣指標的比較，締約方可能會考慮包含以下元素</w:t>
            </w:r>
          </w:p>
          <w:p w:rsidR="00DE737F" w:rsidRPr="00914B1D" w:rsidRDefault="00DE737F" w:rsidP="00DE737F">
            <w:pPr>
              <w:numPr>
                <w:ilvl w:val="1"/>
                <w:numId w:val="24"/>
              </w:numPr>
              <w:ind w:firstLineChars="113" w:firstLine="226"/>
              <w:textAlignment w:val="baseline"/>
              <w:rPr>
                <w:rFonts w:asciiTheme="minorEastAsia" w:eastAsiaTheme="minorEastAsia" w:hAnsiTheme="minorEastAsia" w:cs="Times New Roman"/>
                <w:sz w:val="20"/>
                <w:szCs w:val="20"/>
              </w:rPr>
            </w:pPr>
            <w:proofErr w:type="gramStart"/>
            <w:r w:rsidRPr="00914B1D">
              <w:rPr>
                <w:rFonts w:asciiTheme="minorEastAsia" w:eastAsiaTheme="minorEastAsia" w:hAnsiTheme="minorEastAsia" w:cs="Times New Roman"/>
                <w:sz w:val="20"/>
                <w:szCs w:val="20"/>
              </w:rPr>
              <w:t>碳排量</w:t>
            </w:r>
            <w:proofErr w:type="gramEnd"/>
          </w:p>
          <w:p w:rsidR="00DE737F" w:rsidRPr="00914B1D" w:rsidRDefault="00DE737F" w:rsidP="00DE737F">
            <w:pPr>
              <w:numPr>
                <w:ilvl w:val="1"/>
                <w:numId w:val="24"/>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經濟和發展指標</w:t>
            </w:r>
          </w:p>
          <w:p w:rsidR="00DE737F" w:rsidRPr="00914B1D" w:rsidRDefault="00DE737F" w:rsidP="00DE737F">
            <w:pPr>
              <w:numPr>
                <w:ilvl w:val="1"/>
                <w:numId w:val="24"/>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國情</w:t>
            </w:r>
          </w:p>
          <w:p w:rsidR="00DE737F" w:rsidRPr="00914B1D" w:rsidRDefault="00DE737F" w:rsidP="00DE737F">
            <w:pPr>
              <w:numPr>
                <w:ilvl w:val="1"/>
                <w:numId w:val="24"/>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脆弱度和適應氣候變遷衝擊的能力</w:t>
            </w:r>
          </w:p>
          <w:p w:rsidR="00DE737F" w:rsidRPr="00914B1D" w:rsidRDefault="00DE737F" w:rsidP="00DE737F">
            <w:pPr>
              <w:numPr>
                <w:ilvl w:val="1"/>
                <w:numId w:val="24"/>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lastRenderedPageBreak/>
              <w:t>氣候行動的成本或相對成本</w:t>
            </w:r>
          </w:p>
          <w:p w:rsidR="00DE737F" w:rsidRPr="00914B1D" w:rsidRDefault="00DE737F" w:rsidP="00DE737F">
            <w:pPr>
              <w:numPr>
                <w:ilvl w:val="1"/>
                <w:numId w:val="24"/>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減緩的潛力</w:t>
            </w:r>
          </w:p>
          <w:p w:rsidR="00DE737F" w:rsidRPr="00914B1D" w:rsidRDefault="00DE737F" w:rsidP="00DE737F">
            <w:pPr>
              <w:numPr>
                <w:ilvl w:val="1"/>
                <w:numId w:val="24"/>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氣候行動的效益或其他元素</w:t>
            </w:r>
          </w:p>
          <w:p w:rsidR="00DE737F" w:rsidRPr="00914B1D" w:rsidRDefault="00DE737F" w:rsidP="00DE737F">
            <w:pPr>
              <w:numPr>
                <w:ilvl w:val="0"/>
                <w:numId w:val="24"/>
              </w:numPr>
              <w:ind w:firstLineChars="113" w:firstLine="226"/>
              <w:textAlignment w:val="baseline"/>
              <w:rPr>
                <w:rFonts w:asciiTheme="minorEastAsia" w:eastAsiaTheme="minorEastAsia" w:hAnsiTheme="minorEastAsia" w:cs="Times New Roman"/>
                <w:b/>
                <w:bCs/>
                <w:sz w:val="20"/>
                <w:szCs w:val="20"/>
              </w:rPr>
            </w:pPr>
            <w:r w:rsidRPr="00914B1D">
              <w:rPr>
                <w:rFonts w:asciiTheme="minorEastAsia" w:eastAsiaTheme="minorEastAsia" w:hAnsiTheme="minorEastAsia" w:cs="Times New Roman"/>
                <w:b/>
                <w:bCs/>
                <w:sz w:val="20"/>
                <w:szCs w:val="20"/>
              </w:rPr>
              <w:t>與目標(ambition)相關的多樣指標的比較，締約方可能會考慮包含以下元素</w:t>
            </w:r>
          </w:p>
          <w:p w:rsidR="00DE737F" w:rsidRPr="00914B1D" w:rsidRDefault="00DE737F" w:rsidP="00DE737F">
            <w:pPr>
              <w:numPr>
                <w:ilvl w:val="1"/>
                <w:numId w:val="25"/>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預期的二氧化碳排放基線</w:t>
            </w:r>
          </w:p>
          <w:p w:rsidR="00DE737F" w:rsidRPr="00914B1D" w:rsidRDefault="00DE737F" w:rsidP="00DE737F">
            <w:pPr>
              <w:numPr>
                <w:ilvl w:val="1"/>
                <w:numId w:val="25"/>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近期</w:t>
            </w:r>
            <w:proofErr w:type="gramStart"/>
            <w:r w:rsidRPr="00914B1D">
              <w:rPr>
                <w:rFonts w:asciiTheme="minorEastAsia" w:eastAsiaTheme="minorEastAsia" w:hAnsiTheme="minorEastAsia" w:cs="Times New Roman"/>
                <w:sz w:val="20"/>
                <w:szCs w:val="20"/>
              </w:rPr>
              <w:t>歷史碳排趨勢</w:t>
            </w:r>
            <w:proofErr w:type="gramEnd"/>
          </w:p>
          <w:p w:rsidR="00DE737F" w:rsidRPr="00914B1D" w:rsidRDefault="00DE737F" w:rsidP="00DE737F">
            <w:pPr>
              <w:numPr>
                <w:ilvl w:val="1"/>
                <w:numId w:val="25"/>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基於技術上或經濟上可行的減緩機會所計算的總減緩潛力</w:t>
            </w:r>
          </w:p>
          <w:p w:rsidR="00DE737F" w:rsidRPr="00914B1D" w:rsidRDefault="00DE737F" w:rsidP="00DE737F">
            <w:pPr>
              <w:numPr>
                <w:ilvl w:val="1"/>
                <w:numId w:val="25"/>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年度</w:t>
            </w:r>
            <w:proofErr w:type="gramStart"/>
            <w:r w:rsidRPr="00914B1D">
              <w:rPr>
                <w:rFonts w:asciiTheme="minorEastAsia" w:eastAsiaTheme="minorEastAsia" w:hAnsiTheme="minorEastAsia" w:cs="Times New Roman"/>
                <w:sz w:val="20"/>
                <w:szCs w:val="20"/>
              </w:rPr>
              <w:t>減碳率</w:t>
            </w:r>
            <w:proofErr w:type="gramEnd"/>
            <w:r w:rsidRPr="00914B1D">
              <w:rPr>
                <w:rFonts w:asciiTheme="minorEastAsia" w:eastAsiaTheme="minorEastAsia" w:hAnsiTheme="minorEastAsia" w:cs="Times New Roman"/>
                <w:sz w:val="20"/>
                <w:szCs w:val="20"/>
              </w:rPr>
              <w:t>的基準點，或其他元素</w:t>
            </w:r>
          </w:p>
        </w:tc>
      </w:tr>
      <w:tr w:rsidR="00DE737F" w:rsidRPr="00914B1D" w:rsidTr="002C73D3">
        <w:trPr>
          <w:trHeight w:val="7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lastRenderedPageBreak/>
              <w:t>G. 締約方須說明其NDC如何協助</w:t>
            </w:r>
            <w:r w:rsidRPr="00914B1D">
              <w:rPr>
                <w:rFonts w:asciiTheme="minorEastAsia" w:eastAsiaTheme="minorEastAsia" w:hAnsiTheme="minorEastAsia" w:cs="Times New Roman"/>
                <w:b/>
                <w:bCs/>
                <w:sz w:val="20"/>
                <w:szCs w:val="20"/>
              </w:rPr>
              <w:t>聯合國達到氣候變化綱要公約第二條目標</w:t>
            </w:r>
            <w:r w:rsidRPr="00914B1D">
              <w:rPr>
                <w:rFonts w:asciiTheme="minorEastAsia" w:eastAsiaTheme="minorEastAsia" w:hAnsiTheme="minorEastAsia" w:cs="Times New Roman"/>
                <w:sz w:val="20"/>
                <w:szCs w:val="20"/>
              </w:rPr>
              <w:t>How it contributes toward achieving the objective of the convention as set out in its article 2</w:t>
            </w:r>
          </w:p>
        </w:tc>
      </w:tr>
      <w:tr w:rsidR="00DE737F" w:rsidRPr="00914B1D" w:rsidTr="002C73D3">
        <w:trPr>
          <w:trHeight w:val="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26"/>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NDC如何協助達到UNFCCC第二條目標</w:t>
            </w:r>
          </w:p>
          <w:p w:rsidR="00DE737F" w:rsidRPr="00914B1D" w:rsidRDefault="00DE737F" w:rsidP="00DE737F">
            <w:pPr>
              <w:numPr>
                <w:ilvl w:val="0"/>
                <w:numId w:val="26"/>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NDC如何協助達到巴黎協議第二條第一款及第四條第一款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27"/>
              </w:numPr>
              <w:ind w:firstLineChars="42" w:firstLine="84"/>
              <w:textAlignment w:val="baseline"/>
              <w:rPr>
                <w:rFonts w:asciiTheme="minorEastAsia" w:eastAsiaTheme="minorEastAsia" w:hAnsiTheme="minorEastAsia" w:cs="Times New Roman"/>
                <w:b/>
                <w:bCs/>
                <w:sz w:val="20"/>
                <w:szCs w:val="20"/>
              </w:rPr>
            </w:pPr>
            <w:r w:rsidRPr="00914B1D">
              <w:rPr>
                <w:rFonts w:asciiTheme="minorEastAsia" w:eastAsiaTheme="minorEastAsia" w:hAnsiTheme="minorEastAsia" w:cs="Times New Roman"/>
                <w:b/>
                <w:bCs/>
                <w:sz w:val="20"/>
                <w:szCs w:val="20"/>
              </w:rPr>
              <w:t>與達到PA第二條相關的多樣指標的比較，締約方可能會考慮包含以下元素</w:t>
            </w:r>
          </w:p>
          <w:p w:rsidR="00DE737F" w:rsidRPr="00914B1D" w:rsidRDefault="00DE737F" w:rsidP="00DE737F">
            <w:pPr>
              <w:numPr>
                <w:ilvl w:val="1"/>
                <w:numId w:val="28"/>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若締約國達成貢獻目標，目標年的</w:t>
            </w:r>
            <w:proofErr w:type="gramStart"/>
            <w:r w:rsidRPr="00914B1D">
              <w:rPr>
                <w:rFonts w:asciiTheme="minorEastAsia" w:eastAsiaTheme="minorEastAsia" w:hAnsiTheme="minorEastAsia" w:cs="Times New Roman"/>
                <w:sz w:val="20"/>
                <w:szCs w:val="20"/>
              </w:rPr>
              <w:t>預期碳排量</w:t>
            </w:r>
            <w:proofErr w:type="gramEnd"/>
          </w:p>
          <w:p w:rsidR="00DE737F" w:rsidRPr="00914B1D" w:rsidRDefault="00DE737F" w:rsidP="00DE737F">
            <w:pPr>
              <w:numPr>
                <w:ilvl w:val="1"/>
                <w:numId w:val="28"/>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貢獻的溫室氣體影響（需量化）</w:t>
            </w:r>
          </w:p>
          <w:p w:rsidR="00DE737F" w:rsidRPr="00914B1D" w:rsidRDefault="00DE737F" w:rsidP="00DE737F">
            <w:pPr>
              <w:numPr>
                <w:ilvl w:val="1"/>
                <w:numId w:val="28"/>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預期的溫室氣體高峰年份達到高峰時</w:t>
            </w:r>
            <w:proofErr w:type="gramStart"/>
            <w:r w:rsidRPr="00914B1D">
              <w:rPr>
                <w:rFonts w:asciiTheme="minorEastAsia" w:eastAsiaTheme="minorEastAsia" w:hAnsiTheme="minorEastAsia" w:cs="Times New Roman"/>
                <w:sz w:val="20"/>
                <w:szCs w:val="20"/>
              </w:rPr>
              <w:t>的碳排程度</w:t>
            </w:r>
            <w:proofErr w:type="gramEnd"/>
            <w:r w:rsidRPr="00914B1D">
              <w:rPr>
                <w:rFonts w:asciiTheme="minorEastAsia" w:eastAsiaTheme="minorEastAsia" w:hAnsiTheme="minorEastAsia" w:cs="Times New Roman"/>
                <w:sz w:val="20"/>
                <w:szCs w:val="20"/>
              </w:rPr>
              <w:t>（若知道的話）</w:t>
            </w:r>
          </w:p>
          <w:p w:rsidR="00DE737F" w:rsidRPr="00914B1D" w:rsidRDefault="00DE737F" w:rsidP="00DE737F">
            <w:pPr>
              <w:numPr>
                <w:ilvl w:val="1"/>
                <w:numId w:val="28"/>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年度</w:t>
            </w:r>
            <w:proofErr w:type="gramStart"/>
            <w:r w:rsidRPr="00914B1D">
              <w:rPr>
                <w:rFonts w:asciiTheme="minorEastAsia" w:eastAsiaTheme="minorEastAsia" w:hAnsiTheme="minorEastAsia" w:cs="Times New Roman"/>
                <w:sz w:val="20"/>
                <w:szCs w:val="20"/>
              </w:rPr>
              <w:t>減碳率</w:t>
            </w:r>
            <w:proofErr w:type="gramEnd"/>
            <w:r w:rsidRPr="00914B1D">
              <w:rPr>
                <w:rFonts w:asciiTheme="minorEastAsia" w:eastAsiaTheme="minorEastAsia" w:hAnsiTheme="minorEastAsia" w:cs="Times New Roman"/>
                <w:sz w:val="20"/>
                <w:szCs w:val="20"/>
              </w:rPr>
              <w:t>以及/或長時間預期</w:t>
            </w:r>
            <w:proofErr w:type="gramStart"/>
            <w:r w:rsidRPr="00914B1D">
              <w:rPr>
                <w:rFonts w:asciiTheme="minorEastAsia" w:eastAsiaTheme="minorEastAsia" w:hAnsiTheme="minorEastAsia" w:cs="Times New Roman"/>
                <w:sz w:val="20"/>
                <w:szCs w:val="20"/>
              </w:rPr>
              <w:t>的減碳軌跡</w:t>
            </w:r>
            <w:proofErr w:type="gramEnd"/>
          </w:p>
          <w:p w:rsidR="00DE737F" w:rsidRPr="00914B1D" w:rsidRDefault="00DE737F" w:rsidP="00DE737F">
            <w:pPr>
              <w:numPr>
                <w:ilvl w:val="1"/>
                <w:numId w:val="28"/>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二氧化碳排放基線的誤差</w:t>
            </w:r>
          </w:p>
          <w:p w:rsidR="00DE737F" w:rsidRPr="00914B1D" w:rsidRDefault="00DE737F" w:rsidP="00DE737F">
            <w:pPr>
              <w:numPr>
                <w:ilvl w:val="1"/>
                <w:numId w:val="28"/>
              </w:numPr>
              <w:ind w:firstLineChars="113" w:firstLine="22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任何長期的減緩目標、計畫以防止隨著時間而增加的碳排放，或其他元素</w:t>
            </w:r>
          </w:p>
        </w:tc>
      </w:tr>
    </w:tbl>
    <w:p w:rsidR="00DE737F" w:rsidRPr="00914B1D" w:rsidRDefault="00DE737F" w:rsidP="00DE737F">
      <w:pPr>
        <w:spacing w:after="240"/>
        <w:rPr>
          <w:rFonts w:asciiTheme="minorEastAsia" w:eastAsiaTheme="minorEastAsia" w:hAnsiTheme="minorEastAsia" w:cs="Times New Roman"/>
          <w:sz w:val="22"/>
        </w:rPr>
      </w:pPr>
      <w:r w:rsidRPr="00914B1D">
        <w:rPr>
          <w:rFonts w:asciiTheme="minorEastAsia" w:eastAsiaTheme="minorEastAsia" w:hAnsiTheme="minorEastAsia" w:cs="Times New Roman" w:hint="eastAsia"/>
          <w:sz w:val="22"/>
        </w:rPr>
        <w:t>資料來源：</w:t>
      </w:r>
      <w:r w:rsidRPr="00914B1D">
        <w:rPr>
          <w:rFonts w:asciiTheme="minorEastAsia" w:eastAsiaTheme="minorEastAsia" w:hAnsiTheme="minorEastAsia" w:cs="Times New Roman"/>
          <w:sz w:val="22"/>
        </w:rPr>
        <w:t>巴黎協定締約國大會 (Conference of the Parties serving as the meeting of the Parties to this Agreement, CMA)</w:t>
      </w:r>
      <w:proofErr w:type="gramStart"/>
      <w:r w:rsidRPr="00914B1D">
        <w:rPr>
          <w:rFonts w:asciiTheme="minorEastAsia" w:eastAsiaTheme="minorEastAsia" w:hAnsiTheme="minorEastAsia" w:cs="Times New Roman"/>
          <w:sz w:val="22"/>
        </w:rPr>
        <w:t>第一屆第四號</w:t>
      </w:r>
      <w:proofErr w:type="gramEnd"/>
      <w:r w:rsidRPr="00914B1D">
        <w:rPr>
          <w:rFonts w:asciiTheme="minorEastAsia" w:eastAsiaTheme="minorEastAsia" w:hAnsiTheme="minorEastAsia" w:cs="Times New Roman"/>
          <w:sz w:val="22"/>
        </w:rPr>
        <w:t xml:space="preserve">決議文附件一 (4/CMA.1 Annex </w:t>
      </w:r>
      <w:proofErr w:type="gramStart"/>
      <w:r w:rsidRPr="00914B1D">
        <w:rPr>
          <w:rFonts w:asciiTheme="minorEastAsia" w:eastAsiaTheme="minorEastAsia" w:hAnsiTheme="minorEastAsia" w:cs="Times New Roman"/>
          <w:sz w:val="22"/>
        </w:rPr>
        <w:t>I )</w:t>
      </w:r>
      <w:proofErr w:type="gramEnd"/>
    </w:p>
    <w:p w:rsidR="00DE737F" w:rsidRPr="00914B1D" w:rsidRDefault="00DE737F" w:rsidP="00DE737F">
      <w:pPr>
        <w:textAlignment w:val="baseline"/>
        <w:rPr>
          <w:rFonts w:asciiTheme="minorEastAsia" w:eastAsiaTheme="minorEastAsia" w:hAnsiTheme="minorEastAsia" w:cs="Times New Roman"/>
          <w:sz w:val="23"/>
          <w:szCs w:val="23"/>
        </w:rPr>
      </w:pPr>
    </w:p>
    <w:p w:rsidR="00DE737F" w:rsidRPr="00914B1D" w:rsidRDefault="00DE737F" w:rsidP="00DE737F">
      <w:pPr>
        <w:textAlignment w:val="baseline"/>
        <w:rPr>
          <w:rFonts w:asciiTheme="minorEastAsia" w:eastAsiaTheme="minorEastAsia" w:hAnsiTheme="minorEastAsia" w:cs="Times New Roman"/>
          <w:sz w:val="23"/>
          <w:szCs w:val="23"/>
        </w:rPr>
      </w:pPr>
    </w:p>
    <w:p w:rsidR="00DE737F" w:rsidRPr="00914B1D" w:rsidRDefault="00DE737F" w:rsidP="00DE737F">
      <w:pPr>
        <w:textAlignment w:val="baseline"/>
        <w:rPr>
          <w:rFonts w:asciiTheme="minorEastAsia" w:eastAsiaTheme="minorEastAsia" w:hAnsiTheme="minorEastAsia" w:cs="Times New Roman"/>
          <w:sz w:val="23"/>
          <w:szCs w:val="23"/>
        </w:rPr>
      </w:pPr>
    </w:p>
    <w:p w:rsidR="00DE737F" w:rsidRPr="00914B1D" w:rsidRDefault="00DE737F" w:rsidP="00DE737F">
      <w:pPr>
        <w:textAlignment w:val="baseline"/>
        <w:rPr>
          <w:rFonts w:asciiTheme="minorEastAsia" w:eastAsiaTheme="minorEastAsia" w:hAnsiTheme="minorEastAsia" w:cs="Times New Roman"/>
          <w:sz w:val="23"/>
          <w:szCs w:val="23"/>
        </w:rPr>
      </w:pPr>
    </w:p>
    <w:p w:rsidR="00DE737F" w:rsidRPr="00914B1D" w:rsidRDefault="00DE737F" w:rsidP="00DE737F">
      <w:pPr>
        <w:textAlignment w:val="baseline"/>
        <w:rPr>
          <w:rFonts w:asciiTheme="minorEastAsia" w:eastAsiaTheme="minorEastAsia" w:hAnsiTheme="minorEastAsia" w:cs="Times New Roman"/>
          <w:sz w:val="23"/>
          <w:szCs w:val="23"/>
        </w:rPr>
      </w:pPr>
    </w:p>
    <w:p w:rsidR="00DE737F" w:rsidRPr="00914B1D" w:rsidRDefault="00DE737F" w:rsidP="00DE737F">
      <w:pPr>
        <w:textAlignment w:val="baseline"/>
        <w:rPr>
          <w:rFonts w:asciiTheme="minorEastAsia" w:eastAsiaTheme="minorEastAsia" w:hAnsiTheme="minorEastAsia" w:cs="Times New Roman"/>
          <w:sz w:val="23"/>
          <w:szCs w:val="23"/>
        </w:rPr>
      </w:pPr>
    </w:p>
    <w:p w:rsidR="00DE737F" w:rsidRPr="00914B1D" w:rsidRDefault="00DE737F" w:rsidP="00DE737F">
      <w:pPr>
        <w:textAlignment w:val="baseline"/>
        <w:rPr>
          <w:rFonts w:asciiTheme="minorEastAsia" w:eastAsiaTheme="minorEastAsia" w:hAnsiTheme="minorEastAsia" w:cs="Times New Roman"/>
          <w:sz w:val="23"/>
          <w:szCs w:val="23"/>
        </w:rPr>
      </w:pPr>
    </w:p>
    <w:p w:rsidR="00DE737F" w:rsidRPr="00914B1D" w:rsidRDefault="00DE737F" w:rsidP="00DE737F">
      <w:pPr>
        <w:textAlignment w:val="baseline"/>
        <w:rPr>
          <w:rFonts w:asciiTheme="minorEastAsia" w:eastAsiaTheme="minorEastAsia" w:hAnsiTheme="minorEastAsia" w:cs="Times New Roman"/>
          <w:sz w:val="23"/>
          <w:szCs w:val="23"/>
        </w:rPr>
      </w:pPr>
    </w:p>
    <w:p w:rsidR="00DE737F" w:rsidRPr="00914B1D" w:rsidRDefault="00DE737F" w:rsidP="00DE737F">
      <w:pPr>
        <w:textAlignment w:val="baseline"/>
        <w:rPr>
          <w:rFonts w:asciiTheme="minorEastAsia" w:eastAsiaTheme="minorEastAsia" w:hAnsiTheme="minorEastAsia" w:cs="Times New Roman"/>
          <w:sz w:val="23"/>
          <w:szCs w:val="23"/>
        </w:rPr>
      </w:pPr>
    </w:p>
    <w:tbl>
      <w:tblPr>
        <w:tblW w:w="0" w:type="auto"/>
        <w:tblCellMar>
          <w:top w:w="15" w:type="dxa"/>
          <w:left w:w="15" w:type="dxa"/>
          <w:bottom w:w="15" w:type="dxa"/>
          <w:right w:w="15" w:type="dxa"/>
        </w:tblCellMar>
        <w:tblLook w:val="04A0" w:firstRow="1" w:lastRow="0" w:firstColumn="1" w:lastColumn="0" w:noHBand="0" w:noVBand="1"/>
      </w:tblPr>
      <w:tblGrid>
        <w:gridCol w:w="4660"/>
        <w:gridCol w:w="3626"/>
      </w:tblGrid>
      <w:tr w:rsidR="00DE737F" w:rsidRPr="00914B1D" w:rsidTr="002C73D3">
        <w:trPr>
          <w:trHeight w:val="5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DE737F">
            <w:pPr>
              <w:numPr>
                <w:ilvl w:val="0"/>
                <w:numId w:val="29"/>
              </w:numPr>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lastRenderedPageBreak/>
              <w:t>使用IPCC或CMA採納的方法論和常用公制</w:t>
            </w:r>
          </w:p>
        </w:tc>
      </w:tr>
      <w:tr w:rsidR="00DE737F" w:rsidRPr="00914B1D" w:rsidTr="002C73D3">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30"/>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使用IPCC或CMA採納的方法論和常用公制</w:t>
            </w:r>
          </w:p>
          <w:p w:rsidR="00DE737F" w:rsidRPr="00914B1D" w:rsidRDefault="00DE737F" w:rsidP="00DE737F">
            <w:pPr>
              <w:numPr>
                <w:ilvl w:val="0"/>
                <w:numId w:val="30"/>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若是採用未被IPCC指南包含的方法論(包含締約方的調適行動及經濟多元計畫所導致的減緩共同效益)的締約方，要提供對於溫室氣體排放量與移除量的相對估計和估算方法論的資訊</w:t>
            </w:r>
          </w:p>
          <w:p w:rsidR="00DE737F" w:rsidRPr="00914B1D" w:rsidRDefault="00DE737F" w:rsidP="00DE737F">
            <w:pPr>
              <w:numPr>
                <w:ilvl w:val="0"/>
                <w:numId w:val="30"/>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締約方必須提供他們用甚麼方法追蹤政策和措施施行的進步</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31"/>
              </w:numPr>
              <w:ind w:firstLineChars="97" w:firstLine="19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處理溫室氣體排放量與移除量時，要提供以下資訊</w:t>
            </w:r>
          </w:p>
          <w:p w:rsidR="00DE737F" w:rsidRPr="00914B1D" w:rsidRDefault="00DE737F" w:rsidP="00DE737F">
            <w:pPr>
              <w:numPr>
                <w:ilvl w:val="1"/>
                <w:numId w:val="32"/>
              </w:numPr>
              <w:ind w:firstLineChars="97" w:firstLine="19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使用的方法</w:t>
            </w:r>
          </w:p>
          <w:p w:rsidR="00DE737F" w:rsidRPr="00914B1D" w:rsidRDefault="00DE737F" w:rsidP="00DE737F">
            <w:pPr>
              <w:numPr>
                <w:ilvl w:val="1"/>
                <w:numId w:val="32"/>
              </w:numPr>
              <w:ind w:firstLineChars="97" w:firstLine="19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這些方法如何和相關IPCC指南一致</w:t>
            </w:r>
          </w:p>
          <w:p w:rsidR="00DE737F" w:rsidRPr="00914B1D" w:rsidRDefault="00DE737F" w:rsidP="00DE737F">
            <w:pPr>
              <w:numPr>
                <w:ilvl w:val="1"/>
                <w:numId w:val="32"/>
              </w:numPr>
              <w:ind w:firstLineChars="97" w:firstLine="194"/>
              <w:textAlignment w:val="baseline"/>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指出溫室氣體盤點報告裡的相關部門</w:t>
            </w:r>
          </w:p>
        </w:tc>
      </w:tr>
      <w:tr w:rsidR="00DE737F" w:rsidRPr="00914B1D" w:rsidTr="002C73D3">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ind w:left="360" w:hanging="360"/>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B.   方法論的一致性，包含NDC溝通和實行的基準線</w:t>
            </w:r>
          </w:p>
        </w:tc>
      </w:tr>
      <w:tr w:rsidR="00DE737F" w:rsidRPr="00914B1D" w:rsidTr="002C73D3">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33"/>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締約方在面向與範圍、定義、數據來源、公制、假設和方法保持一致性</w:t>
            </w:r>
          </w:p>
          <w:p w:rsidR="00DE737F" w:rsidRPr="00914B1D" w:rsidRDefault="00DE737F" w:rsidP="00DE737F">
            <w:pPr>
              <w:numPr>
                <w:ilvl w:val="0"/>
                <w:numId w:val="33"/>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透明地回報任何在執行NDC時方法論的改變或技術的更新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34"/>
              </w:numPr>
              <w:ind w:firstLineChars="168" w:firstLine="33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任何計算使用的溫室氣體數據以及估算的方法論必須與締約方的溫室氣體盤點一致(根據透明化框架13-7)</w:t>
            </w:r>
          </w:p>
          <w:p w:rsidR="00DE737F" w:rsidRPr="00914B1D" w:rsidRDefault="00DE737F" w:rsidP="00DE737F">
            <w:pPr>
              <w:numPr>
                <w:ilvl w:val="0"/>
                <w:numId w:val="34"/>
              </w:numPr>
              <w:ind w:firstLineChars="168" w:firstLine="33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締約方在計算時要避免高估或低估推斷的排放量與移除量</w:t>
            </w:r>
          </w:p>
          <w:p w:rsidR="00DE737F" w:rsidRPr="00914B1D" w:rsidRDefault="00DE737F" w:rsidP="00DE737F">
            <w:pPr>
              <w:numPr>
                <w:ilvl w:val="0"/>
                <w:numId w:val="34"/>
              </w:numPr>
              <w:ind w:firstLineChars="168" w:firstLine="33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締約方若在更新基準點、基準水平或推斷時，應用技術上的改變，這些改變不能減少締約方NDC的決心，而且必須反映出締約方排放量的改變或在維持方法論一致的情況下改善正確度</w:t>
            </w:r>
          </w:p>
        </w:tc>
      </w:tr>
      <w:tr w:rsidR="00DE737F" w:rsidRPr="00914B1D" w:rsidTr="002C73D3">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ind w:left="360" w:hanging="360"/>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C.   溫室氣體排放量與移除量的類別</w:t>
            </w:r>
          </w:p>
        </w:tc>
      </w:tr>
      <w:tr w:rsidR="00DE737F" w:rsidRPr="00914B1D" w:rsidTr="002C73D3">
        <w:trPr>
          <w:trHeight w:val="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35"/>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依據部門、類別、次類別的等級將溫室氣體排放量與移除量分門別類</w:t>
            </w:r>
          </w:p>
          <w:p w:rsidR="00DE737F" w:rsidRPr="00914B1D" w:rsidRDefault="00DE737F" w:rsidP="00DE737F">
            <w:pPr>
              <w:numPr>
                <w:ilvl w:val="1"/>
                <w:numId w:val="36"/>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部門</w:t>
            </w:r>
          </w:p>
          <w:p w:rsidR="00DE737F" w:rsidRPr="00914B1D" w:rsidRDefault="00DE737F" w:rsidP="00DE737F">
            <w:pPr>
              <w:numPr>
                <w:ilvl w:val="2"/>
                <w:numId w:val="36"/>
              </w:numPr>
              <w:tabs>
                <w:tab w:val="clear" w:pos="2160"/>
                <w:tab w:val="num" w:pos="741"/>
              </w:tabs>
              <w:ind w:hanging="170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能源</w:t>
            </w:r>
          </w:p>
          <w:p w:rsidR="00DE737F" w:rsidRPr="00914B1D" w:rsidRDefault="00DE737F" w:rsidP="00DE737F">
            <w:pPr>
              <w:numPr>
                <w:ilvl w:val="2"/>
                <w:numId w:val="36"/>
              </w:numPr>
              <w:tabs>
                <w:tab w:val="clear" w:pos="2160"/>
                <w:tab w:val="num" w:pos="741"/>
              </w:tabs>
              <w:ind w:hanging="170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2"/>
                <w:szCs w:val="22"/>
              </w:rPr>
              <w:t>工業製程及產品使用</w:t>
            </w:r>
          </w:p>
          <w:p w:rsidR="00DE737F" w:rsidRPr="00914B1D" w:rsidRDefault="00DE737F" w:rsidP="00DE737F">
            <w:pPr>
              <w:numPr>
                <w:ilvl w:val="2"/>
                <w:numId w:val="36"/>
              </w:numPr>
              <w:tabs>
                <w:tab w:val="clear" w:pos="2160"/>
                <w:tab w:val="num" w:pos="741"/>
              </w:tabs>
              <w:ind w:hanging="170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2"/>
                <w:szCs w:val="22"/>
              </w:rPr>
              <w:t>農林及土地利用</w:t>
            </w:r>
          </w:p>
          <w:p w:rsidR="00DE737F" w:rsidRPr="00914B1D" w:rsidRDefault="00DE737F" w:rsidP="00DE737F">
            <w:pPr>
              <w:numPr>
                <w:ilvl w:val="2"/>
                <w:numId w:val="36"/>
              </w:numPr>
              <w:tabs>
                <w:tab w:val="clear" w:pos="2160"/>
                <w:tab w:val="num" w:pos="741"/>
              </w:tabs>
              <w:ind w:hanging="1703"/>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2"/>
                <w:szCs w:val="22"/>
              </w:rPr>
              <w:t>廢棄物</w:t>
            </w:r>
          </w:p>
          <w:p w:rsidR="00DE737F" w:rsidRPr="00914B1D" w:rsidRDefault="00DE737F" w:rsidP="00DE737F">
            <w:pPr>
              <w:numPr>
                <w:ilvl w:val="1"/>
                <w:numId w:val="36"/>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類別(例:運輸)</w:t>
            </w:r>
          </w:p>
          <w:p w:rsidR="00DE737F" w:rsidRPr="00914B1D" w:rsidRDefault="00DE737F" w:rsidP="00DE737F">
            <w:pPr>
              <w:numPr>
                <w:ilvl w:val="1"/>
                <w:numId w:val="36"/>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lastRenderedPageBreak/>
              <w:t>次類別(例:汽車)</w:t>
            </w:r>
          </w:p>
          <w:p w:rsidR="00DE737F" w:rsidRPr="00914B1D" w:rsidRDefault="00DE737F" w:rsidP="00DE737F">
            <w:pPr>
              <w:numPr>
                <w:ilvl w:val="0"/>
                <w:numId w:val="36"/>
              </w:numPr>
              <w:ind w:firstLineChars="158" w:firstLine="31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針對被排除的任何一項類別提出解釋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37"/>
              </w:numPr>
              <w:ind w:firstLineChars="168" w:firstLine="33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lastRenderedPageBreak/>
              <w:t>應列舉到</w:t>
            </w:r>
            <w:r w:rsidRPr="00914B1D">
              <w:rPr>
                <w:rFonts w:asciiTheme="minorEastAsia" w:eastAsiaTheme="minorEastAsia" w:hAnsiTheme="minorEastAsia" w:cs="Times New Roman"/>
                <w:b/>
                <w:bCs/>
                <w:sz w:val="20"/>
                <w:szCs w:val="20"/>
              </w:rPr>
              <w:t>次類別</w:t>
            </w:r>
            <w:r w:rsidRPr="00914B1D">
              <w:rPr>
                <w:rFonts w:asciiTheme="minorEastAsia" w:eastAsiaTheme="minorEastAsia" w:hAnsiTheme="minorEastAsia" w:cs="Times New Roman"/>
                <w:sz w:val="20"/>
                <w:szCs w:val="20"/>
              </w:rPr>
              <w:t>的等級</w:t>
            </w:r>
          </w:p>
          <w:p w:rsidR="00DE737F" w:rsidRPr="00914B1D" w:rsidRDefault="00DE737F" w:rsidP="00DE737F">
            <w:pPr>
              <w:numPr>
                <w:ilvl w:val="0"/>
                <w:numId w:val="37"/>
              </w:numPr>
              <w:ind w:firstLineChars="168" w:firstLine="33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締約方對他們NDC所列類別負責</w:t>
            </w:r>
          </w:p>
          <w:p w:rsidR="00DE737F" w:rsidRPr="00914B1D" w:rsidRDefault="00DE737F" w:rsidP="00DE737F">
            <w:pPr>
              <w:numPr>
                <w:ilvl w:val="0"/>
                <w:numId w:val="37"/>
              </w:numPr>
              <w:ind w:firstLineChars="168" w:firstLine="33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締約方努力在NDC中包含所有的類別。一旦包含了某</w:t>
            </w:r>
            <w:proofErr w:type="gramStart"/>
            <w:r w:rsidRPr="00914B1D">
              <w:rPr>
                <w:rFonts w:asciiTheme="minorEastAsia" w:eastAsiaTheme="minorEastAsia" w:hAnsiTheme="minorEastAsia" w:cs="Times New Roman"/>
                <w:sz w:val="20"/>
                <w:szCs w:val="20"/>
              </w:rPr>
              <w:t>一種碳源</w:t>
            </w:r>
            <w:proofErr w:type="gramEnd"/>
            <w:r w:rsidRPr="00914B1D">
              <w:rPr>
                <w:rFonts w:asciiTheme="minorEastAsia" w:eastAsiaTheme="minorEastAsia" w:hAnsiTheme="minorEastAsia" w:cs="Times New Roman"/>
                <w:sz w:val="20"/>
                <w:szCs w:val="20"/>
              </w:rPr>
              <w:t>、碳</w:t>
            </w:r>
            <w:proofErr w:type="gramStart"/>
            <w:r w:rsidRPr="00914B1D">
              <w:rPr>
                <w:rFonts w:asciiTheme="minorEastAsia" w:eastAsiaTheme="minorEastAsia" w:hAnsiTheme="minorEastAsia" w:cs="Times New Roman"/>
                <w:sz w:val="20"/>
                <w:szCs w:val="20"/>
              </w:rPr>
              <w:t>匯</w:t>
            </w:r>
            <w:proofErr w:type="gramEnd"/>
            <w:r w:rsidRPr="00914B1D">
              <w:rPr>
                <w:rFonts w:asciiTheme="minorEastAsia" w:eastAsiaTheme="minorEastAsia" w:hAnsiTheme="minorEastAsia" w:cs="Times New Roman"/>
                <w:sz w:val="20"/>
                <w:szCs w:val="20"/>
              </w:rPr>
              <w:t>或活動，就繼續包含下去。</w:t>
            </w:r>
          </w:p>
          <w:p w:rsidR="00DE737F" w:rsidRPr="00914B1D" w:rsidRDefault="00DE737F" w:rsidP="002C73D3">
            <w:pPr>
              <w:spacing w:after="240"/>
              <w:rPr>
                <w:rFonts w:asciiTheme="minorEastAsia" w:eastAsiaTheme="minorEastAsia" w:hAnsiTheme="minorEastAsia" w:cs="Times New Roman"/>
              </w:rPr>
            </w:pPr>
          </w:p>
        </w:tc>
      </w:tr>
      <w:tr w:rsidR="00DE737F" w:rsidRPr="00914B1D" w:rsidTr="002C73D3">
        <w:trPr>
          <w:trHeight w:val="5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 xml:space="preserve">       D.   避免重複計算</w:t>
            </w:r>
          </w:p>
        </w:tc>
      </w:tr>
      <w:tr w:rsidR="00DE737F" w:rsidRPr="00914B1D" w:rsidTr="002C73D3">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38"/>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將相應的排放量調整</w:t>
            </w:r>
            <w:proofErr w:type="gramStart"/>
            <w:r w:rsidRPr="00914B1D">
              <w:rPr>
                <w:rFonts w:asciiTheme="minorEastAsia" w:eastAsiaTheme="minorEastAsia" w:hAnsiTheme="minorEastAsia" w:cs="Times New Roman"/>
                <w:sz w:val="20"/>
                <w:szCs w:val="20"/>
              </w:rPr>
              <w:t>列入碳源</w:t>
            </w:r>
            <w:proofErr w:type="gramEnd"/>
            <w:r w:rsidRPr="00914B1D">
              <w:rPr>
                <w:rFonts w:asciiTheme="minorEastAsia" w:eastAsiaTheme="minorEastAsia" w:hAnsiTheme="minorEastAsia" w:cs="Times New Roman"/>
                <w:sz w:val="20"/>
                <w:szCs w:val="20"/>
              </w:rPr>
              <w:t>、移除量列入碳</w:t>
            </w:r>
            <w:proofErr w:type="gramStart"/>
            <w:r w:rsidRPr="00914B1D">
              <w:rPr>
                <w:rFonts w:asciiTheme="minorEastAsia" w:eastAsiaTheme="minorEastAsia" w:hAnsiTheme="minorEastAsia" w:cs="Times New Roman"/>
                <w:sz w:val="20"/>
                <w:szCs w:val="20"/>
              </w:rPr>
              <w:t>匯</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39"/>
              </w:numPr>
              <w:ind w:firstLineChars="168" w:firstLine="33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每一個追求自願合作的締約方應該促進環境完整性，並且確保避免重複計算</w:t>
            </w:r>
          </w:p>
          <w:p w:rsidR="00DE737F" w:rsidRPr="00914B1D" w:rsidRDefault="00DE737F" w:rsidP="00DE737F">
            <w:pPr>
              <w:numPr>
                <w:ilvl w:val="0"/>
                <w:numId w:val="39"/>
              </w:numPr>
              <w:ind w:firstLineChars="168" w:firstLine="336"/>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締約方若授權減緩效果的轉移為了不同於NDC成就的目的，締約方必須確保避免重複計算</w:t>
            </w:r>
          </w:p>
        </w:tc>
      </w:tr>
      <w:tr w:rsidR="00DE737F" w:rsidRPr="00914B1D" w:rsidTr="002C73D3">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E.   對</w:t>
            </w:r>
            <w:r w:rsidRPr="00914B1D">
              <w:rPr>
                <w:rFonts w:asciiTheme="minorEastAsia" w:eastAsiaTheme="minorEastAsia" w:hAnsiTheme="minorEastAsia" w:cs="Times New Roman"/>
                <w:b/>
                <w:bCs/>
                <w:sz w:val="20"/>
                <w:szCs w:val="20"/>
              </w:rPr>
              <w:t>協助</w:t>
            </w:r>
            <w:r w:rsidRPr="00914B1D">
              <w:rPr>
                <w:rFonts w:asciiTheme="minorEastAsia" w:eastAsiaTheme="minorEastAsia" w:hAnsiTheme="minorEastAsia" w:cs="Times New Roman"/>
                <w:sz w:val="20"/>
                <w:szCs w:val="20"/>
              </w:rPr>
              <w:t>負責</w:t>
            </w:r>
          </w:p>
        </w:tc>
      </w:tr>
      <w:tr w:rsidR="00DE737F" w:rsidRPr="00914B1D" w:rsidTr="002C73D3">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須包括資訊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2C73D3">
            <w:pPr>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撰寫原則</w:t>
            </w:r>
          </w:p>
        </w:tc>
      </w:tr>
      <w:tr w:rsidR="00DE737F" w:rsidRPr="00914B1D" w:rsidTr="002C73D3">
        <w:trPr>
          <w:trHeight w:val="1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40"/>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已開發國家:</w:t>
            </w:r>
          </w:p>
          <w:p w:rsidR="00DE737F" w:rsidRPr="00914B1D" w:rsidRDefault="00DE737F" w:rsidP="00DE737F">
            <w:pPr>
              <w:numPr>
                <w:ilvl w:val="1"/>
                <w:numId w:val="41"/>
              </w:numPr>
              <w:ind w:leftChars="73" w:left="457" w:hangingChars="141" w:hanging="282"/>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技術開發和轉移</w:t>
            </w:r>
          </w:p>
          <w:p w:rsidR="00DE737F" w:rsidRPr="00914B1D" w:rsidRDefault="00DE737F" w:rsidP="00DE737F">
            <w:pPr>
              <w:numPr>
                <w:ilvl w:val="1"/>
                <w:numId w:val="41"/>
              </w:numPr>
              <w:ind w:leftChars="73" w:left="457" w:hangingChars="141" w:hanging="282"/>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能力建構</w:t>
            </w:r>
          </w:p>
          <w:p w:rsidR="00DE737F" w:rsidRPr="00914B1D" w:rsidRDefault="00DE737F" w:rsidP="00DE737F">
            <w:pPr>
              <w:numPr>
                <w:ilvl w:val="1"/>
                <w:numId w:val="41"/>
              </w:numPr>
              <w:ind w:leftChars="73" w:left="457" w:hangingChars="141" w:hanging="282"/>
              <w:textAlignment w:val="baseline"/>
              <w:rPr>
                <w:rFonts w:asciiTheme="minorEastAsia" w:eastAsiaTheme="minorEastAsia" w:hAnsiTheme="minorEastAsia" w:cs="Times New Roman"/>
                <w:sz w:val="20"/>
                <w:szCs w:val="20"/>
              </w:rPr>
            </w:pPr>
            <w:proofErr w:type="gramStart"/>
            <w:r w:rsidRPr="00914B1D">
              <w:rPr>
                <w:rFonts w:asciiTheme="minorEastAsia" w:eastAsiaTheme="minorEastAsia" w:hAnsiTheme="minorEastAsia" w:cs="Times New Roman"/>
                <w:sz w:val="20"/>
                <w:szCs w:val="20"/>
              </w:rPr>
              <w:t>釐</w:t>
            </w:r>
            <w:proofErr w:type="gramEnd"/>
            <w:r w:rsidRPr="00914B1D">
              <w:rPr>
                <w:rFonts w:asciiTheme="minorEastAsia" w:eastAsiaTheme="minorEastAsia" w:hAnsiTheme="minorEastAsia" w:cs="Times New Roman"/>
                <w:sz w:val="20"/>
                <w:szCs w:val="20"/>
              </w:rPr>
              <w:t>清技術開發和轉移以及能力建構的定義和面向</w:t>
            </w:r>
          </w:p>
          <w:p w:rsidR="00DE737F" w:rsidRPr="00914B1D" w:rsidRDefault="00DE737F" w:rsidP="00DE737F">
            <w:pPr>
              <w:numPr>
                <w:ilvl w:val="1"/>
                <w:numId w:val="41"/>
              </w:numPr>
              <w:ind w:leftChars="73" w:left="457" w:hangingChars="141" w:hanging="282"/>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開發適合的方法論去計算這樣的協助的規模和可能的效益</w:t>
            </w:r>
          </w:p>
          <w:p w:rsidR="00DE737F" w:rsidRPr="00914B1D" w:rsidRDefault="00DE737F" w:rsidP="00DE737F">
            <w:pPr>
              <w:numPr>
                <w:ilvl w:val="1"/>
                <w:numId w:val="41"/>
              </w:numPr>
              <w:ind w:leftChars="73" w:left="457" w:hangingChars="141" w:hanging="282"/>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在NDC中避免重複計算</w:t>
            </w:r>
          </w:p>
          <w:p w:rsidR="00DE737F" w:rsidRPr="00914B1D" w:rsidRDefault="00DE737F" w:rsidP="00DE737F">
            <w:pPr>
              <w:numPr>
                <w:ilvl w:val="0"/>
                <w:numId w:val="41"/>
              </w:numPr>
              <w:ind w:firstLineChars="87" w:firstLine="17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開發中國家:</w:t>
            </w:r>
          </w:p>
          <w:p w:rsidR="00DE737F" w:rsidRPr="00914B1D" w:rsidRDefault="00DE737F" w:rsidP="002C73D3">
            <w:pPr>
              <w:ind w:left="457" w:firstLineChars="10" w:firstLine="20"/>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使用</w:t>
            </w:r>
            <w:proofErr w:type="gramStart"/>
            <w:r w:rsidRPr="00914B1D">
              <w:rPr>
                <w:rFonts w:asciiTheme="minorEastAsia" w:eastAsiaTheme="minorEastAsia" w:hAnsiTheme="minorEastAsia" w:cs="Times New Roman"/>
                <w:sz w:val="20"/>
                <w:szCs w:val="20"/>
              </w:rPr>
              <w:t>清楚的</w:t>
            </w:r>
            <w:proofErr w:type="gramEnd"/>
            <w:r w:rsidRPr="00914B1D">
              <w:rPr>
                <w:rFonts w:asciiTheme="minorEastAsia" w:eastAsiaTheme="minorEastAsia" w:hAnsiTheme="minorEastAsia" w:cs="Times New Roman"/>
                <w:sz w:val="20"/>
                <w:szCs w:val="20"/>
              </w:rPr>
              <w:t>、簡潔的和透明的方法論或方法去解釋與NDC相關的所需花費、阻礙和協助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E737F" w:rsidRPr="00914B1D" w:rsidRDefault="00DE737F" w:rsidP="00DE737F">
            <w:pPr>
              <w:numPr>
                <w:ilvl w:val="0"/>
                <w:numId w:val="42"/>
              </w:numPr>
              <w:ind w:leftChars="81" w:left="194"/>
              <w:textAlignment w:val="baseline"/>
              <w:rPr>
                <w:rFonts w:asciiTheme="minorEastAsia" w:eastAsiaTheme="minorEastAsia" w:hAnsiTheme="minorEastAsia" w:cs="Times New Roman"/>
                <w:sz w:val="20"/>
                <w:szCs w:val="20"/>
              </w:rPr>
            </w:pPr>
            <w:r w:rsidRPr="00914B1D">
              <w:rPr>
                <w:rFonts w:asciiTheme="minorEastAsia" w:eastAsiaTheme="minorEastAsia" w:hAnsiTheme="minorEastAsia" w:cs="Times New Roman"/>
                <w:sz w:val="20"/>
                <w:szCs w:val="20"/>
              </w:rPr>
              <w:t>已開發國家對在NDC中提供協助的貢獻和用來負責透過SBSTA (附屬科技諮詢機構)發展的公共干預提供、組織的金融資源的形式負責</w:t>
            </w:r>
          </w:p>
          <w:p w:rsidR="00DE737F" w:rsidRPr="00914B1D" w:rsidRDefault="00DE737F" w:rsidP="002C73D3">
            <w:pPr>
              <w:ind w:left="720"/>
              <w:rPr>
                <w:rFonts w:asciiTheme="minorEastAsia" w:eastAsiaTheme="minorEastAsia" w:hAnsiTheme="minorEastAsia" w:cs="Times New Roman"/>
              </w:rPr>
            </w:pPr>
            <w:r w:rsidRPr="00914B1D">
              <w:rPr>
                <w:rFonts w:asciiTheme="minorEastAsia" w:eastAsiaTheme="minorEastAsia" w:hAnsiTheme="minorEastAsia" w:cs="Times New Roman"/>
                <w:sz w:val="20"/>
                <w:szCs w:val="20"/>
              </w:rPr>
              <w:t>*公共干預:經濟名詞，為政府的政策手段之一，解決市場導向的問題</w:t>
            </w:r>
          </w:p>
          <w:p w:rsidR="00DE737F" w:rsidRPr="00914B1D" w:rsidRDefault="00DE737F" w:rsidP="002C73D3">
            <w:pPr>
              <w:rPr>
                <w:rFonts w:asciiTheme="minorEastAsia" w:eastAsiaTheme="minorEastAsia" w:hAnsiTheme="minorEastAsia" w:cs="Times New Roman"/>
              </w:rPr>
            </w:pPr>
          </w:p>
        </w:tc>
      </w:tr>
    </w:tbl>
    <w:p w:rsidR="00D35C7D" w:rsidRDefault="00DE737F">
      <w:r w:rsidRPr="00914B1D">
        <w:rPr>
          <w:rFonts w:asciiTheme="minorEastAsia" w:eastAsiaTheme="minorEastAsia" w:hAnsiTheme="minorEastAsia" w:cs="Times New Roman" w:hint="eastAsia"/>
          <w:sz w:val="20"/>
          <w:szCs w:val="20"/>
        </w:rPr>
        <w:t>資料來源：</w:t>
      </w:r>
      <w:r w:rsidRPr="00914B1D">
        <w:rPr>
          <w:rFonts w:asciiTheme="minorEastAsia" w:eastAsiaTheme="minorEastAsia" w:hAnsiTheme="minorEastAsia" w:cs="Times New Roman"/>
          <w:sz w:val="20"/>
          <w:szCs w:val="20"/>
        </w:rPr>
        <w:t>巴黎協定締約國大會 (Conference of the Parties serving as the meeting of the Parties to this Agreement, CMA)</w:t>
      </w:r>
      <w:proofErr w:type="gramStart"/>
      <w:r w:rsidRPr="00914B1D">
        <w:rPr>
          <w:rFonts w:asciiTheme="minorEastAsia" w:eastAsiaTheme="minorEastAsia" w:hAnsiTheme="minorEastAsia" w:cs="Times New Roman"/>
          <w:sz w:val="20"/>
          <w:szCs w:val="20"/>
        </w:rPr>
        <w:t>第一屆第四號</w:t>
      </w:r>
      <w:proofErr w:type="gramEnd"/>
      <w:r w:rsidRPr="00914B1D">
        <w:rPr>
          <w:rFonts w:asciiTheme="minorEastAsia" w:eastAsiaTheme="minorEastAsia" w:hAnsiTheme="minorEastAsia" w:cs="Times New Roman"/>
          <w:sz w:val="20"/>
          <w:szCs w:val="20"/>
        </w:rPr>
        <w:t>決議文附件二 ( 4/CMA.1 Annex II</w:t>
      </w:r>
      <w:r>
        <w:rPr>
          <w:rFonts w:asciiTheme="minorEastAsia" w:eastAsiaTheme="minorEastAsia" w:hAnsiTheme="minorEastAsia" w:cs="Times New Roman" w:hint="eastAsia"/>
          <w:sz w:val="20"/>
          <w:szCs w:val="20"/>
        </w:rPr>
        <w:t>)</w:t>
      </w:r>
      <w:bookmarkStart w:id="0" w:name="_GoBack"/>
      <w:bookmarkEnd w:id="0"/>
    </w:p>
    <w:sectPr w:rsidR="00D35C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371D"/>
    <w:multiLevelType w:val="multilevel"/>
    <w:tmpl w:val="294EE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E18B2"/>
    <w:multiLevelType w:val="multilevel"/>
    <w:tmpl w:val="15C81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35E7A"/>
    <w:multiLevelType w:val="multilevel"/>
    <w:tmpl w:val="7462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84DE1"/>
    <w:multiLevelType w:val="multilevel"/>
    <w:tmpl w:val="0EBC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F70E8"/>
    <w:multiLevelType w:val="multilevel"/>
    <w:tmpl w:val="71B4A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A3440"/>
    <w:multiLevelType w:val="multilevel"/>
    <w:tmpl w:val="619E4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648B4"/>
    <w:multiLevelType w:val="multilevel"/>
    <w:tmpl w:val="A66E6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306EF"/>
    <w:multiLevelType w:val="multilevel"/>
    <w:tmpl w:val="4D4C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67C3B"/>
    <w:multiLevelType w:val="multilevel"/>
    <w:tmpl w:val="5470E41C"/>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F32F3"/>
    <w:multiLevelType w:val="multilevel"/>
    <w:tmpl w:val="9432E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769B4"/>
    <w:multiLevelType w:val="multilevel"/>
    <w:tmpl w:val="F91C6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329BE"/>
    <w:multiLevelType w:val="multilevel"/>
    <w:tmpl w:val="3F0C3CEA"/>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A72C8"/>
    <w:multiLevelType w:val="multilevel"/>
    <w:tmpl w:val="8C18F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DA7D0C"/>
    <w:multiLevelType w:val="multilevel"/>
    <w:tmpl w:val="255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14682"/>
    <w:multiLevelType w:val="multilevel"/>
    <w:tmpl w:val="7A88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0D615C"/>
    <w:multiLevelType w:val="multilevel"/>
    <w:tmpl w:val="A32C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28642D"/>
    <w:multiLevelType w:val="multilevel"/>
    <w:tmpl w:val="9A402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A728C"/>
    <w:multiLevelType w:val="multilevel"/>
    <w:tmpl w:val="7B3C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7D2CF5"/>
    <w:multiLevelType w:val="multilevel"/>
    <w:tmpl w:val="C24C5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671AD2"/>
    <w:multiLevelType w:val="multilevel"/>
    <w:tmpl w:val="2F5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0764BB"/>
    <w:multiLevelType w:val="multilevel"/>
    <w:tmpl w:val="5B70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523984"/>
    <w:multiLevelType w:val="multilevel"/>
    <w:tmpl w:val="53345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6A7271"/>
    <w:multiLevelType w:val="multilevel"/>
    <w:tmpl w:val="4C56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3A4EF6"/>
    <w:multiLevelType w:val="multilevel"/>
    <w:tmpl w:val="E7C2A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A83BD1"/>
    <w:multiLevelType w:val="multilevel"/>
    <w:tmpl w:val="085C3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F339E"/>
    <w:multiLevelType w:val="multilevel"/>
    <w:tmpl w:val="F9444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lvl w:ilvl="0">
        <w:numFmt w:val="upperLetter"/>
        <w:lvlText w:val="%1."/>
        <w:lvlJc w:val="left"/>
      </w:lvl>
    </w:lvlOverride>
  </w:num>
  <w:num w:numId="2">
    <w:abstractNumId w:val="6"/>
    <w:lvlOverride w:ilvl="0">
      <w:lvl w:ilvl="0">
        <w:start w:val="1"/>
        <w:numFmt w:val="upperRoman"/>
        <w:lvlText w:val="%1."/>
        <w:lvlJc w:val="right"/>
        <w:pPr>
          <w:ind w:left="0" w:firstLine="0"/>
        </w:pPr>
        <w:rPr>
          <w:rFonts w:hint="eastAsia"/>
        </w:rPr>
      </w:lvl>
    </w:lvlOverride>
    <w:lvlOverride w:ilvl="1">
      <w:lvl w:ilvl="1">
        <w:start w:val="1"/>
        <w:numFmt w:val="decimal"/>
        <w:lvlText w:val="%2."/>
        <w:lvlJc w:val="left"/>
        <w:pPr>
          <w:tabs>
            <w:tab w:val="num" w:pos="1440"/>
          </w:tabs>
          <w:ind w:left="1440" w:hanging="360"/>
        </w:pPr>
        <w:rPr>
          <w:rFonts w:hint="eastAsia"/>
        </w:rPr>
      </w:lvl>
    </w:lvlOverride>
    <w:lvlOverride w:ilvl="2">
      <w:lvl w:ilvl="2">
        <w:start w:val="1"/>
        <w:numFmt w:val="decimal"/>
        <w:lvlText w:val="%3."/>
        <w:lvlJc w:val="left"/>
        <w:pPr>
          <w:tabs>
            <w:tab w:val="num" w:pos="2160"/>
          </w:tabs>
          <w:ind w:left="2160" w:hanging="360"/>
        </w:pPr>
        <w:rPr>
          <w:rFonts w:hint="eastAsia"/>
        </w:rPr>
      </w:lvl>
    </w:lvlOverride>
    <w:lvlOverride w:ilvl="3">
      <w:lvl w:ilvl="3">
        <w:start w:val="1"/>
        <w:numFmt w:val="decimal"/>
        <w:lvlText w:val="%4."/>
        <w:lvlJc w:val="left"/>
        <w:pPr>
          <w:tabs>
            <w:tab w:val="num" w:pos="2880"/>
          </w:tabs>
          <w:ind w:left="2880" w:hanging="360"/>
        </w:pPr>
        <w:rPr>
          <w:rFonts w:hint="eastAsia"/>
        </w:rPr>
      </w:lvl>
    </w:lvlOverride>
    <w:lvlOverride w:ilvl="4">
      <w:lvl w:ilvl="4">
        <w:start w:val="1"/>
        <w:numFmt w:val="decimal"/>
        <w:lvlText w:val="%5."/>
        <w:lvlJc w:val="left"/>
        <w:pPr>
          <w:tabs>
            <w:tab w:val="num" w:pos="3600"/>
          </w:tabs>
          <w:ind w:left="3600" w:hanging="360"/>
        </w:pPr>
        <w:rPr>
          <w:rFonts w:hint="eastAsia"/>
        </w:rPr>
      </w:lvl>
    </w:lvlOverride>
    <w:lvlOverride w:ilvl="5">
      <w:lvl w:ilvl="5">
        <w:start w:val="1"/>
        <w:numFmt w:val="decimal"/>
        <w:lvlText w:val="%6."/>
        <w:lvlJc w:val="left"/>
        <w:pPr>
          <w:tabs>
            <w:tab w:val="num" w:pos="4320"/>
          </w:tabs>
          <w:ind w:left="4320" w:hanging="360"/>
        </w:pPr>
        <w:rPr>
          <w:rFonts w:hint="eastAsia"/>
        </w:rPr>
      </w:lvl>
    </w:lvlOverride>
    <w:lvlOverride w:ilvl="6">
      <w:lvl w:ilvl="6">
        <w:start w:val="1"/>
        <w:numFmt w:val="decimal"/>
        <w:lvlText w:val="%7."/>
        <w:lvlJc w:val="left"/>
        <w:pPr>
          <w:tabs>
            <w:tab w:val="num" w:pos="5040"/>
          </w:tabs>
          <w:ind w:left="5040" w:hanging="360"/>
        </w:pPr>
        <w:rPr>
          <w:rFonts w:hint="eastAsia"/>
        </w:rPr>
      </w:lvl>
    </w:lvlOverride>
    <w:lvlOverride w:ilvl="7">
      <w:lvl w:ilvl="7">
        <w:start w:val="1"/>
        <w:numFmt w:val="decimal"/>
        <w:lvlText w:val="%8."/>
        <w:lvlJc w:val="left"/>
        <w:pPr>
          <w:tabs>
            <w:tab w:val="num" w:pos="5760"/>
          </w:tabs>
          <w:ind w:left="5760" w:hanging="360"/>
        </w:pPr>
        <w:rPr>
          <w:rFonts w:hint="eastAsia"/>
        </w:rPr>
      </w:lvl>
    </w:lvlOverride>
    <w:lvlOverride w:ilvl="8">
      <w:lvl w:ilvl="8">
        <w:start w:val="1"/>
        <w:numFmt w:val="decimal"/>
        <w:lvlText w:val="%9."/>
        <w:lvlJc w:val="left"/>
        <w:pPr>
          <w:tabs>
            <w:tab w:val="num" w:pos="6480"/>
          </w:tabs>
          <w:ind w:left="6480" w:hanging="360"/>
        </w:pPr>
        <w:rPr>
          <w:rFonts w:hint="eastAsia"/>
        </w:rPr>
      </w:lvl>
    </w:lvlOverride>
  </w:num>
  <w:num w:numId="3">
    <w:abstractNumId w:val="6"/>
    <w:lvlOverride w:ilvl="0">
      <w:lvl w:ilvl="0">
        <w:numFmt w:val="upperRoman"/>
        <w:lvlText w:val="%1."/>
        <w:lvlJc w:val="right"/>
      </w:lvl>
    </w:lvlOverride>
    <w:lvlOverride w:ilvl="1">
      <w:lvl w:ilvl="1">
        <w:numFmt w:val="upperLetter"/>
        <w:lvlText w:val="%2."/>
        <w:lvlJc w:val="left"/>
      </w:lvl>
    </w:lvlOverride>
  </w:num>
  <w:num w:numId="4">
    <w:abstractNumId w:val="2"/>
    <w:lvlOverride w:ilvl="0">
      <w:lvl w:ilvl="0">
        <w:numFmt w:val="upperRoman"/>
        <w:lvlText w:val="%1."/>
        <w:lvlJc w:val="right"/>
      </w:lvl>
    </w:lvlOverride>
  </w:num>
  <w:num w:numId="5">
    <w:abstractNumId w:val="20"/>
    <w:lvlOverride w:ilvl="0">
      <w:lvl w:ilvl="0">
        <w:numFmt w:val="upperRoman"/>
        <w:lvlText w:val="%1."/>
        <w:lvlJc w:val="right"/>
      </w:lvl>
    </w:lvlOverride>
  </w:num>
  <w:num w:numId="6">
    <w:abstractNumId w:val="0"/>
    <w:lvlOverride w:ilvl="0">
      <w:lvl w:ilvl="0">
        <w:numFmt w:val="upperRoman"/>
        <w:lvlText w:val="%1."/>
        <w:lvlJc w:val="right"/>
      </w:lvl>
    </w:lvlOverride>
  </w:num>
  <w:num w:numId="7">
    <w:abstractNumId w:val="14"/>
    <w:lvlOverride w:ilvl="0">
      <w:lvl w:ilvl="0">
        <w:numFmt w:val="upperRoman"/>
        <w:lvlText w:val="%1."/>
        <w:lvlJc w:val="right"/>
      </w:lvl>
    </w:lvlOverride>
  </w:num>
  <w:num w:numId="8">
    <w:abstractNumId w:val="14"/>
    <w:lvlOverride w:ilvl="0">
      <w:lvl w:ilvl="0">
        <w:numFmt w:val="upperRoman"/>
        <w:lvlText w:val="%1."/>
        <w:lvlJc w:val="right"/>
      </w:lvl>
    </w:lvlOverride>
    <w:lvlOverride w:ilvl="1">
      <w:lvl w:ilvl="1">
        <w:numFmt w:val="upperLetter"/>
        <w:lvlText w:val="%2."/>
        <w:lvlJc w:val="left"/>
      </w:lvl>
    </w:lvlOverride>
  </w:num>
  <w:num w:numId="9">
    <w:abstractNumId w:val="18"/>
    <w:lvlOverride w:ilvl="0">
      <w:lvl w:ilvl="0">
        <w:numFmt w:val="upperRoman"/>
        <w:lvlText w:val="%1."/>
        <w:lvlJc w:val="right"/>
      </w:lvl>
    </w:lvlOverride>
  </w:num>
  <w:num w:numId="10">
    <w:abstractNumId w:val="18"/>
    <w:lvlOverride w:ilvl="0">
      <w:lvl w:ilvl="0">
        <w:numFmt w:val="upperRoman"/>
        <w:lvlText w:val="%1."/>
        <w:lvlJc w:val="right"/>
      </w:lvl>
    </w:lvlOverride>
    <w:lvlOverride w:ilvl="1">
      <w:lvl w:ilvl="1">
        <w:numFmt w:val="upperLetter"/>
        <w:lvlText w:val="%2."/>
        <w:lvlJc w:val="left"/>
      </w:lvl>
    </w:lvlOverride>
  </w:num>
  <w:num w:numId="11">
    <w:abstractNumId w:val="12"/>
    <w:lvlOverride w:ilvl="0">
      <w:lvl w:ilvl="0">
        <w:numFmt w:val="upperRoman"/>
        <w:lvlText w:val="%1."/>
        <w:lvlJc w:val="right"/>
      </w:lvl>
    </w:lvlOverride>
  </w:num>
  <w:num w:numId="12">
    <w:abstractNumId w:val="12"/>
    <w:lvlOverride w:ilvl="0">
      <w:lvl w:ilvl="0">
        <w:numFmt w:val="upperRoman"/>
        <w:lvlText w:val="%1."/>
        <w:lvlJc w:val="right"/>
      </w:lvl>
    </w:lvlOverride>
    <w:lvlOverride w:ilvl="1">
      <w:lvl w:ilvl="1">
        <w:numFmt w:val="upperLetter"/>
        <w:lvlText w:val="%2."/>
        <w:lvlJc w:val="left"/>
      </w:lvl>
    </w:lvlOverride>
  </w:num>
  <w:num w:numId="13">
    <w:abstractNumId w:val="12"/>
    <w:lvlOverride w:ilvl="0">
      <w:lvl w:ilvl="0">
        <w:numFmt w:val="upperRoman"/>
        <w:lvlText w:val="%1."/>
        <w:lvlJc w:val="right"/>
      </w:lvl>
    </w:lvlOverride>
    <w:lvlOverride w:ilvl="1">
      <w:lvl w:ilvl="1">
        <w:numFmt w:val="upperLetter"/>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4">
    <w:abstractNumId w:val="12"/>
    <w:lvlOverride w:ilvl="0">
      <w:lvl w:ilvl="0">
        <w:numFmt w:val="upperRoman"/>
        <w:lvlText w:val="%1."/>
        <w:lvlJc w:val="right"/>
      </w:lvl>
    </w:lvlOverride>
    <w:lvlOverride w:ilvl="1">
      <w:lvl w:ilvl="1">
        <w:numFmt w:val="upperLetter"/>
        <w:lvlText w:val="%2."/>
        <w:lvlJc w:val="left"/>
      </w:lvl>
    </w:lvlOverride>
  </w:num>
  <w:num w:numId="15">
    <w:abstractNumId w:val="12"/>
    <w:lvlOverride w:ilvl="0">
      <w:lvl w:ilvl="0">
        <w:numFmt w:val="upperRoman"/>
        <w:lvlText w:val="%1."/>
        <w:lvlJc w:val="right"/>
      </w:lvl>
    </w:lvlOverride>
    <w:lvlOverride w:ilvl="1">
      <w:lvl w:ilvl="1">
        <w:numFmt w:val="upperLetter"/>
        <w:lvlText w:val="%2."/>
        <w:lvlJc w:val="left"/>
      </w:lvl>
    </w:lvlOverride>
  </w:num>
  <w:num w:numId="16">
    <w:abstractNumId w:val="23"/>
    <w:lvlOverride w:ilvl="0">
      <w:lvl w:ilvl="0">
        <w:numFmt w:val="upperRoman"/>
        <w:lvlText w:val="%1."/>
        <w:lvlJc w:val="right"/>
      </w:lvl>
    </w:lvlOverride>
  </w:num>
  <w:num w:numId="17">
    <w:abstractNumId w:val="23"/>
    <w:lvlOverride w:ilvl="0">
      <w:lvl w:ilvl="0">
        <w:numFmt w:val="upperRoman"/>
        <w:lvlText w:val="%1."/>
        <w:lvlJc w:val="right"/>
      </w:lvl>
    </w:lvlOverride>
    <w:lvlOverride w:ilvl="1">
      <w:lvl w:ilvl="1">
        <w:numFmt w:val="upperLetter"/>
        <w:lvlText w:val="%2."/>
        <w:lvlJc w:val="left"/>
      </w:lvl>
    </w:lvlOverride>
  </w:num>
  <w:num w:numId="18">
    <w:abstractNumId w:val="23"/>
    <w:lvlOverride w:ilvl="0">
      <w:lvl w:ilvl="0">
        <w:numFmt w:val="upperRoman"/>
        <w:lvlText w:val="%1."/>
        <w:lvlJc w:val="right"/>
      </w:lvl>
    </w:lvlOverride>
    <w:lvlOverride w:ilvl="1">
      <w:lvl w:ilvl="1">
        <w:numFmt w:val="upperLetter"/>
        <w:lvlText w:val="%2."/>
        <w:lvlJc w:val="left"/>
      </w:lvl>
    </w:lvlOverride>
  </w:num>
  <w:num w:numId="19">
    <w:abstractNumId w:val="23"/>
    <w:lvlOverride w:ilvl="0">
      <w:lvl w:ilvl="0">
        <w:numFmt w:val="upperRoman"/>
        <w:lvlText w:val="%1."/>
        <w:lvlJc w:val="right"/>
      </w:lvl>
    </w:lvlOverride>
    <w:lvlOverride w:ilvl="1">
      <w:lvl w:ilvl="1">
        <w:numFmt w:val="upperLetter"/>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0">
    <w:abstractNumId w:val="23"/>
    <w:lvlOverride w:ilvl="0">
      <w:lvl w:ilvl="0">
        <w:numFmt w:val="upperRoman"/>
        <w:lvlText w:val="%1."/>
        <w:lvlJc w:val="right"/>
      </w:lvl>
    </w:lvlOverride>
    <w:lvlOverride w:ilvl="1">
      <w:lvl w:ilvl="1">
        <w:numFmt w:val="upperLetter"/>
        <w:lvlText w:val="%2."/>
        <w:lvlJc w:val="left"/>
      </w:lvl>
    </w:lvlOverride>
  </w:num>
  <w:num w:numId="21">
    <w:abstractNumId w:val="23"/>
    <w:lvlOverride w:ilvl="0">
      <w:lvl w:ilvl="0">
        <w:numFmt w:val="upperRoman"/>
        <w:lvlText w:val="%1."/>
        <w:lvlJc w:val="right"/>
      </w:lvl>
    </w:lvlOverride>
    <w:lvlOverride w:ilvl="1">
      <w:lvl w:ilvl="1">
        <w:numFmt w:val="upperLetter"/>
        <w:lvlText w:val="%2."/>
        <w:lvlJc w:val="left"/>
      </w:lvl>
    </w:lvlOverride>
  </w:num>
  <w:num w:numId="22">
    <w:abstractNumId w:val="13"/>
    <w:lvlOverride w:ilvl="0">
      <w:lvl w:ilvl="0">
        <w:numFmt w:val="upperRoman"/>
        <w:lvlText w:val="%1."/>
        <w:lvlJc w:val="right"/>
      </w:lvl>
    </w:lvlOverride>
  </w:num>
  <w:num w:numId="23">
    <w:abstractNumId w:val="16"/>
    <w:lvlOverride w:ilvl="0">
      <w:lvl w:ilvl="0">
        <w:numFmt w:val="upperRoman"/>
        <w:lvlText w:val="%1."/>
        <w:lvlJc w:val="right"/>
      </w:lvl>
    </w:lvlOverride>
  </w:num>
  <w:num w:numId="24">
    <w:abstractNumId w:val="16"/>
    <w:lvlOverride w:ilvl="0">
      <w:lvl w:ilvl="0">
        <w:numFmt w:val="upperRoman"/>
        <w:lvlText w:val="%1."/>
        <w:lvlJc w:val="right"/>
      </w:lvl>
    </w:lvlOverride>
    <w:lvlOverride w:ilvl="1">
      <w:lvl w:ilvl="1">
        <w:numFmt w:val="upperLetter"/>
        <w:lvlText w:val="%2."/>
        <w:lvlJc w:val="left"/>
      </w:lvl>
    </w:lvlOverride>
  </w:num>
  <w:num w:numId="25">
    <w:abstractNumId w:val="16"/>
    <w:lvlOverride w:ilvl="0">
      <w:lvl w:ilvl="0">
        <w:numFmt w:val="upperRoman"/>
        <w:lvlText w:val="%1."/>
        <w:lvlJc w:val="right"/>
      </w:lvl>
    </w:lvlOverride>
    <w:lvlOverride w:ilvl="1">
      <w:lvl w:ilvl="1">
        <w:numFmt w:val="upperLetter"/>
        <w:lvlText w:val="%2."/>
        <w:lvlJc w:val="left"/>
      </w:lvl>
    </w:lvlOverride>
  </w:num>
  <w:num w:numId="26">
    <w:abstractNumId w:val="15"/>
    <w:lvlOverride w:ilvl="0">
      <w:lvl w:ilvl="0">
        <w:numFmt w:val="upperRoman"/>
        <w:lvlText w:val="%1."/>
        <w:lvlJc w:val="right"/>
      </w:lvl>
    </w:lvlOverride>
  </w:num>
  <w:num w:numId="27">
    <w:abstractNumId w:val="4"/>
    <w:lvlOverride w:ilvl="0">
      <w:lvl w:ilvl="0">
        <w:numFmt w:val="upperRoman"/>
        <w:lvlText w:val="%1."/>
        <w:lvlJc w:val="right"/>
      </w:lvl>
    </w:lvlOverride>
  </w:num>
  <w:num w:numId="28">
    <w:abstractNumId w:val="4"/>
    <w:lvlOverride w:ilvl="0">
      <w:lvl w:ilvl="0">
        <w:numFmt w:val="upperRoman"/>
        <w:lvlText w:val="%1."/>
        <w:lvlJc w:val="right"/>
      </w:lvl>
    </w:lvlOverride>
    <w:lvlOverride w:ilvl="1">
      <w:lvl w:ilvl="1">
        <w:numFmt w:val="upperLetter"/>
        <w:lvlText w:val="%2."/>
        <w:lvlJc w:val="left"/>
      </w:lvl>
    </w:lvlOverride>
  </w:num>
  <w:num w:numId="29">
    <w:abstractNumId w:val="22"/>
    <w:lvlOverride w:ilvl="0">
      <w:lvl w:ilvl="0">
        <w:numFmt w:val="upperLetter"/>
        <w:lvlText w:val="%1."/>
        <w:lvlJc w:val="left"/>
      </w:lvl>
    </w:lvlOverride>
  </w:num>
  <w:num w:numId="30">
    <w:abstractNumId w:val="17"/>
    <w:lvlOverride w:ilvl="0">
      <w:lvl w:ilvl="0">
        <w:numFmt w:val="upperRoman"/>
        <w:lvlText w:val="%1."/>
        <w:lvlJc w:val="right"/>
      </w:lvl>
    </w:lvlOverride>
  </w:num>
  <w:num w:numId="31">
    <w:abstractNumId w:val="25"/>
    <w:lvlOverride w:ilvl="0">
      <w:lvl w:ilvl="0">
        <w:numFmt w:val="upperRoman"/>
        <w:lvlText w:val="%1."/>
        <w:lvlJc w:val="right"/>
      </w:lvl>
    </w:lvlOverride>
  </w:num>
  <w:num w:numId="32">
    <w:abstractNumId w:val="25"/>
    <w:lvlOverride w:ilvl="0">
      <w:lvl w:ilvl="0">
        <w:numFmt w:val="upperRoman"/>
        <w:lvlText w:val="%1."/>
        <w:lvlJc w:val="right"/>
      </w:lvl>
    </w:lvlOverride>
    <w:lvlOverride w:ilvl="1">
      <w:lvl w:ilvl="1">
        <w:numFmt w:val="upperLetter"/>
        <w:lvlText w:val="%2."/>
        <w:lvlJc w:val="left"/>
      </w:lvl>
    </w:lvlOverride>
  </w:num>
  <w:num w:numId="33">
    <w:abstractNumId w:val="9"/>
    <w:lvlOverride w:ilvl="0">
      <w:lvl w:ilvl="0">
        <w:numFmt w:val="upperRoman"/>
        <w:lvlText w:val="%1."/>
        <w:lvlJc w:val="right"/>
      </w:lvl>
    </w:lvlOverride>
  </w:num>
  <w:num w:numId="34">
    <w:abstractNumId w:val="7"/>
    <w:lvlOverride w:ilvl="0">
      <w:lvl w:ilvl="0">
        <w:numFmt w:val="upperRoman"/>
        <w:lvlText w:val="%1."/>
        <w:lvlJc w:val="right"/>
      </w:lvl>
    </w:lvlOverride>
  </w:num>
  <w:num w:numId="35">
    <w:abstractNumId w:val="1"/>
    <w:lvlOverride w:ilvl="0">
      <w:lvl w:ilvl="0">
        <w:numFmt w:val="upperRoman"/>
        <w:lvlText w:val="%1."/>
        <w:lvlJc w:val="right"/>
      </w:lvl>
    </w:lvlOverride>
  </w:num>
  <w:num w:numId="36">
    <w:abstractNumId w:val="1"/>
    <w:lvlOverride w:ilvl="0">
      <w:lvl w:ilvl="0">
        <w:numFmt w:val="upperRoman"/>
        <w:lvlText w:val="%1."/>
        <w:lvlJc w:val="right"/>
      </w:lvl>
    </w:lvlOverride>
    <w:lvlOverride w:ilvl="1">
      <w:lvl w:ilvl="1">
        <w:numFmt w:val="upperLetter"/>
        <w:lvlText w:val="%2."/>
        <w:lvlJc w:val="left"/>
      </w:lvl>
    </w:lvlOverride>
  </w:num>
  <w:num w:numId="37">
    <w:abstractNumId w:val="19"/>
    <w:lvlOverride w:ilvl="0">
      <w:lvl w:ilvl="0">
        <w:numFmt w:val="upperRoman"/>
        <w:lvlText w:val="%1."/>
        <w:lvlJc w:val="right"/>
      </w:lvl>
    </w:lvlOverride>
  </w:num>
  <w:num w:numId="38">
    <w:abstractNumId w:val="21"/>
    <w:lvlOverride w:ilvl="0">
      <w:lvl w:ilvl="0">
        <w:numFmt w:val="upperRoman"/>
        <w:lvlText w:val="%1."/>
        <w:lvlJc w:val="right"/>
      </w:lvl>
    </w:lvlOverride>
  </w:num>
  <w:num w:numId="39">
    <w:abstractNumId w:val="5"/>
    <w:lvlOverride w:ilvl="0">
      <w:lvl w:ilvl="0">
        <w:numFmt w:val="upperRoman"/>
        <w:lvlText w:val="%1."/>
        <w:lvlJc w:val="right"/>
      </w:lvl>
    </w:lvlOverride>
  </w:num>
  <w:num w:numId="40">
    <w:abstractNumId w:val="10"/>
    <w:lvlOverride w:ilvl="0">
      <w:lvl w:ilvl="0">
        <w:numFmt w:val="upperRoman"/>
        <w:lvlText w:val="%1."/>
        <w:lvlJc w:val="right"/>
      </w:lvl>
    </w:lvlOverride>
  </w:num>
  <w:num w:numId="41">
    <w:abstractNumId w:val="10"/>
    <w:lvlOverride w:ilvl="0">
      <w:lvl w:ilvl="0">
        <w:numFmt w:val="upperRoman"/>
        <w:lvlText w:val="%1."/>
        <w:lvlJc w:val="right"/>
      </w:lvl>
    </w:lvlOverride>
    <w:lvlOverride w:ilvl="1">
      <w:lvl w:ilvl="1">
        <w:numFmt w:val="upperLetter"/>
        <w:lvlText w:val="%2."/>
        <w:lvlJc w:val="left"/>
      </w:lvl>
    </w:lvlOverride>
  </w:num>
  <w:num w:numId="42">
    <w:abstractNumId w:val="3"/>
    <w:lvlOverride w:ilvl="0">
      <w:lvl w:ilvl="0">
        <w:numFmt w:val="upperRoman"/>
        <w:lvlText w:val="%1."/>
        <w:lvlJc w:val="right"/>
      </w:lvl>
    </w:lvlOverride>
  </w:num>
  <w:num w:numId="43">
    <w:abstractNumId w:val="1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7F"/>
    <w:rsid w:val="00D35C7D"/>
    <w:rsid w:val="00DE73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91EAD-9431-4F5C-A9F1-C827F756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37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3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2020-01-22T08:35:00Z</dcterms:created>
  <dcterms:modified xsi:type="dcterms:W3CDTF">2020-01-22T08:36:00Z</dcterms:modified>
</cp:coreProperties>
</file>