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b/>
          <w:bCs/>
          <w:sz w:val="24"/>
          <w:szCs w:val="24"/>
          <w:lang w:val="en-US" w:eastAsia="zh-TW"/>
        </w:rPr>
      </w:pPr>
      <w:r>
        <w:rPr>
          <w:rFonts w:hint="eastAsia"/>
          <w:b/>
          <w:bCs/>
          <w:sz w:val="24"/>
          <w:szCs w:val="24"/>
          <w:lang w:val="en-US" w:eastAsia="zh-TW"/>
        </w:rPr>
        <w:t>20200421【中部青年反對二林精機開發記者會】參考資料(0420版)</w:t>
      </w:r>
    </w:p>
    <w:p>
      <w:pPr>
        <w:numPr>
          <w:ilvl w:val="0"/>
          <w:numId w:val="0"/>
        </w:numPr>
        <w:rPr>
          <w:rFonts w:hint="eastAsia" w:ascii="SimSun" w:hAnsi="SimSun" w:eastAsia="SimSun" w:cs="SimSun"/>
          <w:sz w:val="24"/>
          <w:szCs w:val="24"/>
          <w:lang w:eastAsia="zh-TW"/>
        </w:rPr>
      </w:pPr>
    </w:p>
    <w:p>
      <w:pPr>
        <w:numPr>
          <w:ilvl w:val="0"/>
          <w:numId w:val="1"/>
        </w:numPr>
        <w:rPr>
          <w:rFonts w:hint="eastAsia" w:ascii="SimSun" w:hAnsi="SimSun" w:eastAsia="SimSun" w:cs="SimSun"/>
          <w:b/>
          <w:bCs/>
          <w:sz w:val="24"/>
          <w:szCs w:val="24"/>
          <w:lang w:eastAsia="zh-TW"/>
        </w:rPr>
      </w:pPr>
      <w:r>
        <w:rPr>
          <w:rFonts w:hint="eastAsia" w:ascii="SimSun" w:hAnsi="SimSun" w:eastAsia="SimSun" w:cs="SimSun"/>
          <w:b/>
          <w:bCs/>
          <w:sz w:val="24"/>
          <w:szCs w:val="24"/>
          <w:lang w:eastAsia="zh-TW"/>
        </w:rPr>
        <w:t>二林精機開發案簡介</w:t>
      </w:r>
    </w:p>
    <w:p>
      <w:pPr>
        <w:numPr>
          <w:ilvl w:val="0"/>
          <w:numId w:val="2"/>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開發面積：352公頃，可供建廠之產業用地約196公頃。</w:t>
      </w:r>
    </w:p>
    <w:p>
      <w:pPr>
        <w:numPr>
          <w:ilvl w:val="0"/>
          <w:numId w:val="2"/>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開發區位：彰化縣二林鎮台糖萬興農場，全區為農委會評定之「重要農業生產地區」。</w:t>
      </w:r>
    </w:p>
    <w:p>
      <w:pPr>
        <w:numPr>
          <w:ilvl w:val="0"/>
          <w:numId w:val="2"/>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主要引進產業類別：精密機械產業。</w:t>
      </w:r>
    </w:p>
    <w:p>
      <w:pPr>
        <w:numPr>
          <w:ilvl w:val="0"/>
          <w:numId w:val="2"/>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開發審議進度：環評專案小組建議通過環評，即將召開環評大會審議。</w:t>
      </w:r>
    </w:p>
    <w:p>
      <w:pPr>
        <w:numPr>
          <w:ilvl w:val="0"/>
          <w:numId w:val="0"/>
        </w:numPr>
        <w:rPr>
          <w:rFonts w:hint="eastAsia" w:ascii="SimSun" w:hAnsi="SimSun" w:eastAsia="SimSun" w:cs="SimSun"/>
          <w:sz w:val="24"/>
          <w:szCs w:val="24"/>
          <w:lang w:eastAsia="zh-TW"/>
        </w:rPr>
      </w:pPr>
    </w:p>
    <w:p>
      <w:pPr>
        <w:numPr>
          <w:ilvl w:val="0"/>
          <w:numId w:val="0"/>
        </w:numPr>
        <w:rPr>
          <w:rFonts w:hint="eastAsia" w:ascii="SimSun" w:hAnsi="SimSun" w:eastAsia="SimSun" w:cs="SimSun"/>
          <w:b/>
          <w:bCs/>
          <w:sz w:val="24"/>
          <w:szCs w:val="24"/>
          <w:lang w:eastAsia="zh-TW"/>
        </w:rPr>
      </w:pPr>
      <w:r>
        <w:rPr>
          <w:rFonts w:hint="eastAsia" w:ascii="SimSun" w:hAnsi="SimSun" w:eastAsia="SimSun" w:cs="SimSun"/>
          <w:b/>
          <w:bCs/>
          <w:sz w:val="24"/>
          <w:szCs w:val="24"/>
          <w:lang w:eastAsia="zh-TW"/>
        </w:rPr>
        <w:t>二、本案環評補考再補考，環評史上少見</w:t>
      </w:r>
    </w:p>
    <w:p>
      <w:pPr>
        <w:numPr>
          <w:ilvl w:val="0"/>
          <w:numId w:val="0"/>
        </w:numPr>
        <w:rPr>
          <w:rFonts w:hint="eastAsia" w:ascii="SimSun" w:hAnsi="SimSun" w:eastAsia="SimSun" w:cs="SimSun"/>
          <w:sz w:val="24"/>
          <w:szCs w:val="24"/>
          <w:lang w:eastAsia="zh-TW"/>
        </w:rPr>
      </w:pPr>
      <w:r>
        <w:rPr>
          <w:rFonts w:hint="eastAsia" w:ascii="SimSun" w:hAnsi="SimSun" w:eastAsia="SimSun" w:cs="SimSun"/>
          <w:sz w:val="24"/>
          <w:szCs w:val="24"/>
          <w:lang w:eastAsia="zh-TW"/>
        </w:rPr>
        <w:t>本案至今已進行五次專案小組初審、一次環評大會審查。過程中，第二次專案小</w:t>
      </w:r>
      <w:bookmarkStart w:id="0" w:name="_GoBack"/>
      <w:bookmarkEnd w:id="0"/>
      <w:r>
        <w:rPr>
          <w:rFonts w:hint="eastAsia" w:ascii="SimSun" w:hAnsi="SimSun" w:eastAsia="SimSun" w:cs="SimSun"/>
          <w:sz w:val="24"/>
          <w:szCs w:val="24"/>
          <w:lang w:eastAsia="zh-TW"/>
        </w:rPr>
        <w:t>組初審曾作成不應開發之決議提交環評大會，大會卻罕見地推翻小組決議，要求補件再審。之後又三度召開初審會議，補考再補考的情況為環評史上少見。</w:t>
      </w:r>
      <w:r>
        <w:rPr>
          <w:rFonts w:hint="eastAsia" w:ascii="SimSun" w:hAnsi="SimSun" w:eastAsia="SimSun" w:cs="SimSun"/>
          <w:sz w:val="24"/>
          <w:szCs w:val="24"/>
          <w:lang w:eastAsia="zh-TW"/>
        </w:rPr>
        <w:br w:type="textWrapping"/>
      </w:r>
      <w:r>
        <w:rPr>
          <w:rFonts w:hint="eastAsia" w:ascii="SimSun" w:hAnsi="SimSun" w:eastAsia="SimSun" w:cs="SimSun"/>
          <w:sz w:val="24"/>
          <w:szCs w:val="24"/>
          <w:lang w:eastAsia="zh-TW"/>
        </w:rPr>
        <w:br w:type="textWrapping"/>
      </w:r>
      <w:r>
        <w:rPr>
          <w:rFonts w:hint="eastAsia" w:ascii="SimSun" w:hAnsi="SimSun" w:eastAsia="SimSun" w:cs="SimSun"/>
          <w:sz w:val="24"/>
          <w:szCs w:val="24"/>
          <w:lang w:eastAsia="zh-TW"/>
        </w:rPr>
        <w:t>第五次初審，針對環評委員及與會民眾所提出之「開發後基地滯洪量是否減少」、「用地供需合理性」、「強制迴用再生水之可行方案」、「再生水質是否符合灌溉標準」、「空污抵減措施及檢核機制」、「二林中科疊加之健康風險評估」、「毒性化學物質管控及預防措施」等爭點，開發單位明顯無法提出有效說明，環評委員也要求補件。</w:t>
      </w:r>
    </w:p>
    <w:p>
      <w:pPr>
        <w:numPr>
          <w:ilvl w:val="0"/>
          <w:numId w:val="0"/>
        </w:numPr>
        <w:rPr>
          <w:rFonts w:hint="eastAsia" w:ascii="SimSun" w:hAnsi="SimSun" w:eastAsia="SimSun" w:cs="SimSun"/>
          <w:sz w:val="24"/>
          <w:szCs w:val="24"/>
          <w:lang w:eastAsia="zh-TW"/>
        </w:rPr>
      </w:pPr>
    </w:p>
    <w:p>
      <w:pPr>
        <w:numPr>
          <w:ilvl w:val="0"/>
          <w:numId w:val="0"/>
        </w:numPr>
        <w:rPr>
          <w:rFonts w:hint="eastAsia" w:ascii="SimSun" w:hAnsi="SimSun" w:eastAsia="SimSun" w:cs="SimSun"/>
          <w:sz w:val="24"/>
          <w:szCs w:val="24"/>
          <w:lang w:eastAsia="zh-TW"/>
        </w:rPr>
      </w:pPr>
      <w:r>
        <w:rPr>
          <w:rFonts w:hint="eastAsia" w:ascii="SimSun" w:hAnsi="SimSun" w:eastAsia="SimSun" w:cs="SimSun"/>
          <w:sz w:val="24"/>
          <w:szCs w:val="24"/>
          <w:lang w:eastAsia="zh-TW"/>
        </w:rPr>
        <w:t>按理，在開發單位無法自證可有效避免重大環境負面影響的情況下，專案小組理應作成「補件再審」或「不予開發」之決議。專案小組卻作成「通過環境影響評估」之決議，而又附帶諸多要開發單位補充詳細資料及具體辦法之補件要求，環評專案小組之決議實缺乏合理性。</w:t>
      </w:r>
      <w:r>
        <w:rPr>
          <w:rFonts w:hint="eastAsia" w:ascii="SimSun" w:hAnsi="SimSun" w:eastAsia="SimSun" w:cs="SimSun"/>
          <w:sz w:val="24"/>
          <w:szCs w:val="24"/>
          <w:lang w:eastAsia="zh-TW"/>
        </w:rPr>
        <w:br w:type="textWrapping"/>
      </w:r>
      <w:r>
        <w:rPr>
          <w:rFonts w:hint="eastAsia" w:ascii="SimSun" w:hAnsi="SimSun" w:eastAsia="SimSun" w:cs="SimSun"/>
          <w:sz w:val="24"/>
          <w:szCs w:val="24"/>
          <w:lang w:eastAsia="zh-TW"/>
        </w:rPr>
        <w:br w:type="textWrapping"/>
      </w:r>
      <w:r>
        <w:rPr>
          <w:rFonts w:hint="eastAsia" w:ascii="SimSun" w:hAnsi="SimSun" w:eastAsia="SimSun" w:cs="SimSun"/>
          <w:sz w:val="24"/>
          <w:szCs w:val="24"/>
          <w:lang w:eastAsia="zh-TW"/>
        </w:rPr>
        <w:t>參考資料：</w:t>
      </w:r>
      <w:r>
        <w:rPr>
          <w:rFonts w:hint="eastAsia" w:ascii="SimSun" w:hAnsi="SimSun" w:eastAsia="SimSun" w:cs="SimSun"/>
          <w:sz w:val="24"/>
          <w:szCs w:val="24"/>
          <w:lang w:eastAsia="zh-TW"/>
        </w:rPr>
        <w:br w:type="textWrapping"/>
      </w:r>
      <w:r>
        <w:rPr>
          <w:rFonts w:hint="eastAsia" w:ascii="SimSun" w:hAnsi="SimSun" w:eastAsia="SimSun" w:cs="SimSun"/>
          <w:sz w:val="24"/>
          <w:szCs w:val="24"/>
          <w:lang w:val="en-US" w:eastAsia="zh-TW"/>
        </w:rPr>
        <w:t>1.</w:t>
      </w:r>
      <w:r>
        <w:rPr>
          <w:rFonts w:hint="eastAsia" w:ascii="SimSun" w:hAnsi="SimSun" w:eastAsia="SimSun" w:cs="SimSun"/>
          <w:sz w:val="24"/>
          <w:szCs w:val="24"/>
          <w:lang w:eastAsia="zh-TW"/>
        </w:rPr>
        <w:t>二林精機環評專案小組第五次初審會議紀錄</w:t>
      </w:r>
      <w:r>
        <w:rPr>
          <w:rFonts w:hint="eastAsia" w:ascii="SimSun" w:hAnsi="SimSun" w:eastAsia="SimSun" w:cs="SimSun"/>
          <w:sz w:val="24"/>
          <w:szCs w:val="24"/>
          <w:lang w:eastAsia="zh-TW"/>
        </w:rPr>
        <w:br w:type="textWrapping"/>
      </w:r>
      <w:r>
        <w:rPr>
          <w:rFonts w:hint="eastAsia" w:ascii="SimSun" w:hAnsi="SimSun" w:eastAsia="SimSun" w:cs="SimSun"/>
          <w:sz w:val="24"/>
          <w:szCs w:val="24"/>
          <w:lang w:eastAsia="zh-TW"/>
        </w:rPr>
        <w:t>https://eiadoc.epa.gov.tw/EIAWEB/DownloadFiles.ashx?sHcode=1070572A&amp;sFileName=20200219-5.pdf&amp;sDir=eiaetc&amp;sType=b</w:t>
      </w:r>
    </w:p>
    <w:p>
      <w:pPr>
        <w:numPr>
          <w:ilvl w:val="0"/>
          <w:numId w:val="0"/>
        </w:numPr>
        <w:rPr>
          <w:rFonts w:ascii="SimSun" w:hAnsi="SimSun" w:eastAsia="SimSun" w:cs="SimSun"/>
          <w:sz w:val="24"/>
          <w:szCs w:val="24"/>
        </w:rPr>
      </w:pP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t>2.第五次初審媒體報導</w:t>
      </w:r>
      <w:r>
        <w:rPr>
          <w:rFonts w:hint="eastAsia" w:ascii="SimSun" w:hAnsi="SimSun" w:eastAsia="SimSun" w:cs="SimSun"/>
          <w:sz w:val="24"/>
          <w:szCs w:val="24"/>
          <w:lang w:val="en-US" w:eastAsia="zh-TW"/>
        </w:rPr>
        <w:br w:type="textWrapping"/>
      </w:r>
      <w:r>
        <w:rPr>
          <w:rFonts w:ascii="SimSun" w:hAnsi="SimSun" w:eastAsia="SimSun" w:cs="SimSun"/>
          <w:sz w:val="24"/>
          <w:szCs w:val="24"/>
        </w:rPr>
        <w:fldChar w:fldCharType="begin"/>
      </w:r>
      <w:r>
        <w:rPr>
          <w:rFonts w:ascii="SimSun" w:hAnsi="SimSun" w:eastAsia="SimSun" w:cs="SimSun"/>
          <w:sz w:val="24"/>
          <w:szCs w:val="24"/>
        </w:rPr>
        <w:instrText xml:space="preserve"> HYPERLINK "https://tw.appledaily.com/life/20200219/MAHLWLJKA3M35GEYIT6BJQBI7U/" </w:instrText>
      </w:r>
      <w:r>
        <w:rPr>
          <w:rFonts w:ascii="SimSun" w:hAnsi="SimSun" w:eastAsia="SimSun" w:cs="SimSun"/>
          <w:sz w:val="24"/>
          <w:szCs w:val="24"/>
        </w:rPr>
        <w:fldChar w:fldCharType="separate"/>
      </w:r>
      <w:r>
        <w:rPr>
          <w:rStyle w:val="6"/>
          <w:rFonts w:ascii="SimSun" w:hAnsi="SimSun" w:eastAsia="SimSun" w:cs="SimSun"/>
          <w:sz w:val="24"/>
          <w:szCs w:val="24"/>
        </w:rPr>
        <w:t>https://tw.appledaily.com/life/20200219/MAHLWLJKA3M35GEYIT6BJQBI7U/</w:t>
      </w:r>
      <w:r>
        <w:rPr>
          <w:rFonts w:ascii="SimSun" w:hAnsi="SimSun" w:eastAsia="SimSun" w:cs="SimSun"/>
          <w:sz w:val="24"/>
          <w:szCs w:val="24"/>
        </w:rPr>
        <w:fldChar w:fldCharType="end"/>
      </w:r>
    </w:p>
    <w:p>
      <w:pPr>
        <w:numPr>
          <w:ilvl w:val="0"/>
          <w:numId w:val="0"/>
        </w:numPr>
        <w:rPr>
          <w:rFonts w:hint="eastAsia" w:ascii="SimSun" w:hAnsi="SimSun" w:eastAsia="SimSun" w:cs="SimSun"/>
          <w:sz w:val="24"/>
          <w:szCs w:val="24"/>
          <w:lang w:val="en-US" w:eastAsia="zh-TW"/>
        </w:rPr>
      </w:pPr>
    </w:p>
    <w:p>
      <w:pPr>
        <w:numPr>
          <w:ilvl w:val="0"/>
          <w:numId w:val="0"/>
        </w:numPr>
        <w:rPr>
          <w:rFonts w:hint="eastAsia" w:ascii="SimSun" w:hAnsi="SimSun" w:eastAsia="SimSun" w:cs="SimSun"/>
          <w:b/>
          <w:bCs/>
          <w:sz w:val="24"/>
          <w:szCs w:val="24"/>
          <w:lang w:val="en-US" w:eastAsia="zh-TW"/>
        </w:rPr>
      </w:pPr>
      <w:r>
        <w:rPr>
          <w:rFonts w:hint="eastAsia" w:ascii="SimSun" w:hAnsi="SimSun" w:eastAsia="SimSun" w:cs="SimSun"/>
          <w:b/>
          <w:bCs/>
          <w:sz w:val="24"/>
          <w:szCs w:val="24"/>
          <w:lang w:val="en-US" w:eastAsia="zh-TW"/>
        </w:rPr>
        <w:t>三、與二林中科競合問題仍未釐清</w:t>
      </w: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二林精機最大爭議在於開發場址緊鄰中科二林園區，而中科二林園區由於環評、用水及區位偏遠的因素，目前開發招商進度緩慢。600多公頃園區，目前僅核配出租53.08公頃(全區可租售面積為343公頃，目前核配率僅有15.4%，且核配並不代表已建廠，科學園區廠商獲核配出租後放棄建廠的情形在所多有)。且全區尚有382.72公頃土地尚未開發完成。</w:t>
      </w:r>
    </w:p>
    <w:p>
      <w:pPr>
        <w:numPr>
          <w:ilvl w:val="0"/>
          <w:numId w:val="0"/>
        </w:numPr>
        <w:rPr>
          <w:rFonts w:ascii="SimSun" w:hAnsi="SimSun" w:eastAsia="SimSun" w:cs="SimSun"/>
          <w:sz w:val="24"/>
          <w:szCs w:val="24"/>
        </w:rPr>
      </w:pP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t>資料來源：科技部網頁</w:t>
      </w:r>
      <w:r>
        <w:rPr>
          <w:rFonts w:hint="eastAsia" w:ascii="SimSun" w:hAnsi="SimSun" w:eastAsia="SimSun" w:cs="SimSun"/>
          <w:sz w:val="24"/>
          <w:szCs w:val="24"/>
          <w:lang w:val="en-US" w:eastAsia="zh-TW"/>
        </w:rPr>
        <w:br w:type="textWrapping"/>
      </w:r>
      <w:r>
        <w:rPr>
          <w:rFonts w:ascii="SimSun" w:hAnsi="SimSun" w:eastAsia="SimSun" w:cs="SimSun"/>
          <w:sz w:val="24"/>
          <w:szCs w:val="24"/>
        </w:rPr>
        <w:fldChar w:fldCharType="begin"/>
      </w:r>
      <w:r>
        <w:rPr>
          <w:rFonts w:ascii="SimSun" w:hAnsi="SimSun" w:eastAsia="SimSun" w:cs="SimSun"/>
          <w:sz w:val="24"/>
          <w:szCs w:val="24"/>
        </w:rPr>
        <w:instrText xml:space="preserve"> HYPERLINK "https://wsts.most.gov.tw/STSWeb/sciencepark/ScienceParkReport.aspx?language=C&amp;quyid=tqland01" </w:instrText>
      </w:r>
      <w:r>
        <w:rPr>
          <w:rFonts w:ascii="SimSun" w:hAnsi="SimSun" w:eastAsia="SimSun" w:cs="SimSun"/>
          <w:sz w:val="24"/>
          <w:szCs w:val="24"/>
        </w:rPr>
        <w:fldChar w:fldCharType="separate"/>
      </w:r>
      <w:r>
        <w:rPr>
          <w:rStyle w:val="6"/>
          <w:rFonts w:ascii="SimSun" w:hAnsi="SimSun" w:eastAsia="SimSun" w:cs="SimSun"/>
          <w:sz w:val="24"/>
          <w:szCs w:val="24"/>
        </w:rPr>
        <w:t>https://wsts.most.gov.tw/STSWeb/sciencepark/ScienceParkReport.aspx?language=C&amp;quyid=tqland01</w:t>
      </w:r>
      <w:r>
        <w:rPr>
          <w:rFonts w:ascii="SimSun" w:hAnsi="SimSun" w:eastAsia="SimSun" w:cs="SimSun"/>
          <w:sz w:val="24"/>
          <w:szCs w:val="24"/>
        </w:rPr>
        <w:fldChar w:fldCharType="end"/>
      </w:r>
    </w:p>
    <w:p>
      <w:pPr>
        <w:numPr>
          <w:ilvl w:val="0"/>
          <w:numId w:val="0"/>
        </w:numPr>
        <w:rPr>
          <w:rFonts w:hint="eastAsia" w:ascii="SimSun" w:hAnsi="SimSun" w:eastAsia="SimSun" w:cs="SimSun"/>
          <w:sz w:val="24"/>
          <w:szCs w:val="24"/>
          <w:lang w:val="en-US" w:eastAsia="zh-TW"/>
        </w:rPr>
      </w:pP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二林中科發展前景未明，彰化縣政府卻接續提出二林精機案，要大規模開發352公頃優良農地為工業區。且因中科四期也已調整成以精密機械為主之園區，精密機械業佔引進產業比35%，可建廠面積約122公頃。因此二林精機與二林中科無論區位以及引進產業類型皆高度重疊，二林精機開發之必要性因此持續受到質疑。</w:t>
      </w:r>
    </w:p>
    <w:p>
      <w:pPr>
        <w:numPr>
          <w:ilvl w:val="0"/>
          <w:numId w:val="0"/>
        </w:numPr>
        <w:rPr>
          <w:rFonts w:hint="eastAsia" w:ascii="SimSun" w:hAnsi="SimSun" w:eastAsia="SimSun" w:cs="SimSun"/>
          <w:sz w:val="24"/>
          <w:szCs w:val="24"/>
          <w:lang w:val="en-US" w:eastAsia="zh-TW"/>
        </w:rPr>
      </w:pP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彰化縣政府雖意圖論述二林精機欲引進之精密機械產業是「關鍵零組件製造」，與中科二林欲引進的精密機械業有別。但經查閱中科四期精密機械產業引進類別，「關鍵零組件」亦為中科四期特別註明引進之重點產業，兩園區欲引進的重點產業實難脫高度競合的疑慮。</w:t>
      </w:r>
    </w:p>
    <w:p>
      <w:pPr>
        <w:numPr>
          <w:ilvl w:val="0"/>
          <w:numId w:val="0"/>
        </w:numPr>
        <w:rPr>
          <w:rFonts w:hint="eastAsia" w:ascii="SimSun" w:hAnsi="SimSun" w:eastAsia="SimSun" w:cs="SimSun"/>
          <w:sz w:val="24"/>
          <w:szCs w:val="24"/>
          <w:lang w:val="en-US" w:eastAsia="zh-TW"/>
        </w:rPr>
      </w:pP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開發單位另以二林精機管理及環境保護成本，以及廠商科研技術門檻較中科四期低；用地採出售模式較符合中小企業習慣為由，主張二林精機園區之客層與中科四期不同。但管理及環境保護成本、科研技術門檻較低，似與縣府主張二林精機將為全國最先進及環境保護標準最高的園區之說法不一致，而產業用地採出售模式，也與當前強調工業區土地應儘量「只租不售」，避免屯地炒地之趨勢有違。</w:t>
      </w:r>
    </w:p>
    <w:p>
      <w:pPr>
        <w:numPr>
          <w:ilvl w:val="0"/>
          <w:numId w:val="0"/>
        </w:numPr>
        <w:rPr>
          <w:rFonts w:hint="eastAsia" w:ascii="SimSun" w:hAnsi="SimSun" w:eastAsia="SimSun" w:cs="SimSun"/>
          <w:sz w:val="24"/>
          <w:szCs w:val="24"/>
          <w:lang w:val="en-US" w:eastAsia="zh-TW"/>
        </w:rPr>
      </w:pP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就產業群聚及區位而言，作為中科四期之支援產業用地，應是二林精機園區開發之較合理正當性來源。但目前中科四期發展前景不明，二林精機開發應回歸合理的國土成長管理，意即應待中科四期全區開發完成，且進駐率達50%以上時，再討論是否編定開發較為合理。</w:t>
      </w: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br w:type="textWrapping"/>
      </w:r>
    </w:p>
    <w:p>
      <w:pPr>
        <w:numPr>
          <w:ilvl w:val="0"/>
          <w:numId w:val="0"/>
        </w:numPr>
        <w:rPr>
          <w:rFonts w:hint="eastAsia" w:ascii="SimSun" w:hAnsi="SimSun" w:eastAsia="SimSun" w:cs="SimSun"/>
          <w:sz w:val="24"/>
          <w:szCs w:val="24"/>
          <w:lang w:val="en-US" w:eastAsia="zh-TW"/>
        </w:rPr>
      </w:pPr>
      <w:r>
        <w:rPr>
          <w:rFonts w:hint="eastAsia" w:ascii="SimSun" w:hAnsi="SimSun" w:eastAsia="SimSun" w:cs="SimSun"/>
          <w:b/>
          <w:bCs/>
          <w:sz w:val="24"/>
          <w:szCs w:val="24"/>
          <w:lang w:val="en-US" w:eastAsia="zh-TW"/>
        </w:rPr>
        <w:t>四、既有產業用地已符合中彰投精機業「審慎樂觀」情境需求</w:t>
      </w: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t>二林精機主要欲引進精密機械產業。但依據開發單位引述之「中臺灣精密機械產業發展與空間規劃計畫」之內容，中彰投地區精密機械業用地「審慎樂觀」情境需求為397公頃，「欣欣向榮」情境為571公頃。依第四次初審修正本第三次審查意見說明第20頁，中部地區南投旺來產業園區等精密機械產業用地供給面積為537.87公頃，若扣除本案產業用地196公頃，加計中科二林基地機械業用地120公頃為461公頃，用地供給已滿足「審慎樂觀」情境之需求。</w:t>
      </w: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t>而近期中彰投地區又陸續提出「大里夏田產業園區」(188.1公頃)、「擴大神岡都市計畫產業園(169.87公頃)」、「新訂大里塗城都市計畫（產業型）整體發展」(35.81公頃)、「新訂烏日（溪南）產業發展特定區計畫」(53.7公頃)、「台中精密機械產業創新園區三期」等計畫。而經濟部工業局彰濱工業區，依開發單位本次回覆說明，閒置加上新釋出土地亦有108.2公頃。彰化縣政府同時也正在計畫編定鹿港打鐵厝產業園區(9.9公頃)，以及大村科技產業園區(268公頃)。本案與前述中部地區已開發及申請中之產業園區計畫，明顯有競合關係。</w:t>
      </w:r>
    </w:p>
    <w:p>
      <w:pPr>
        <w:numPr>
          <w:ilvl w:val="0"/>
          <w:numId w:val="0"/>
        </w:numPr>
        <w:rPr>
          <w:rFonts w:hint="eastAsia" w:ascii="SimSun" w:hAnsi="SimSun" w:eastAsia="SimSun" w:cs="SimSun"/>
          <w:sz w:val="24"/>
          <w:szCs w:val="24"/>
          <w:lang w:val="en-US" w:eastAsia="zh-TW"/>
        </w:rPr>
      </w:pP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drawing>
          <wp:inline distT="0" distB="0" distL="114300" distR="114300">
            <wp:extent cx="5266690" cy="3340100"/>
            <wp:effectExtent l="0" t="0" r="3810" b="0"/>
            <wp:docPr id="4" name="圖片 4" descr="用地供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用地供需"/>
                    <pic:cNvPicPr>
                      <a:picLocks noChangeAspect="1"/>
                    </pic:cNvPicPr>
                  </pic:nvPicPr>
                  <pic:blipFill>
                    <a:blip r:embed="rId6"/>
                    <a:stretch>
                      <a:fillRect/>
                    </a:stretch>
                  </pic:blipFill>
                  <pic:spPr>
                    <a:xfrm>
                      <a:off x="0" y="0"/>
                      <a:ext cx="5266690" cy="3340100"/>
                    </a:xfrm>
                    <a:prstGeom prst="rect">
                      <a:avLst/>
                    </a:prstGeom>
                  </pic:spPr>
                </pic:pic>
              </a:graphicData>
            </a:graphic>
          </wp:inline>
        </w:drawing>
      </w:r>
    </w:p>
    <w:p>
      <w:pPr>
        <w:widowControl w:val="0"/>
        <w:numPr>
          <w:ilvl w:val="0"/>
          <w:numId w:val="0"/>
        </w:numPr>
        <w:jc w:val="both"/>
        <w:rPr>
          <w:rFonts w:hint="eastAsia" w:ascii="SimSun" w:hAnsi="SimSun" w:eastAsia="SimSun" w:cs="SimSun"/>
          <w:sz w:val="24"/>
          <w:szCs w:val="24"/>
          <w:lang w:val="en-US" w:eastAsia="zh-TW"/>
        </w:rPr>
      </w:pPr>
    </w:p>
    <w:p>
      <w:pPr>
        <w:widowControl w:val="0"/>
        <w:numPr>
          <w:ilvl w:val="0"/>
          <w:numId w:val="0"/>
        </w:numPr>
        <w:jc w:val="both"/>
        <w:rPr>
          <w:rFonts w:hint="eastAsia" w:ascii="SimSun" w:hAnsi="SimSun" w:eastAsia="SimSun" w:cs="SimSun"/>
          <w:sz w:val="24"/>
          <w:szCs w:val="24"/>
          <w:lang w:val="en-US" w:eastAsia="zh-TW"/>
        </w:rPr>
      </w:pPr>
    </w:p>
    <w:p>
      <w:pPr>
        <w:numPr>
          <w:ilvl w:val="0"/>
          <w:numId w:val="0"/>
        </w:numPr>
        <w:rPr>
          <w:rFonts w:hint="eastAsia" w:ascii="SimSun" w:hAnsi="SimSun" w:eastAsia="SimSun" w:cs="SimSun"/>
          <w:b/>
          <w:bCs/>
          <w:sz w:val="24"/>
          <w:szCs w:val="24"/>
          <w:lang w:val="en-US" w:eastAsia="zh-TW"/>
        </w:rPr>
      </w:pPr>
      <w:r>
        <w:rPr>
          <w:rFonts w:hint="eastAsia" w:ascii="SimSun" w:hAnsi="SimSun" w:eastAsia="SimSun" w:cs="SimSun"/>
          <w:b/>
          <w:bCs/>
          <w:sz w:val="24"/>
          <w:szCs w:val="24"/>
          <w:lang w:val="en-US" w:eastAsia="zh-TW"/>
        </w:rPr>
        <w:t>五、「廠商繳交保證金逾70%始得動工」仍將造成大量土地閒置</w:t>
      </w: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開發單位為減緩二林精機用地需求缺乏合理性之質疑，於第五次環評專案小組承諾本案各分期開發區「廠商繳交土地預登記保證金逾70%，始得動工。」，亦納入環評結論。但所謂「廠商繳交保證金逾70%始得動工」，其實是各工業區開發常用的避免履約糾紛及財務控管的避險作為，而非國土成長管理的手段。</w:t>
      </w:r>
    </w:p>
    <w:p>
      <w:pPr>
        <w:numPr>
          <w:ilvl w:val="0"/>
          <w:numId w:val="0"/>
        </w:numPr>
        <w:rPr>
          <w:rFonts w:hint="eastAsia" w:ascii="SimSun" w:hAnsi="SimSun" w:eastAsia="SimSun" w:cs="SimSun"/>
          <w:sz w:val="24"/>
          <w:szCs w:val="24"/>
          <w:lang w:val="en-US" w:eastAsia="zh-TW"/>
        </w:rPr>
      </w:pP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由於目前各工業區之開發，皆是委辦民間土地開發公司逕向銀行團融資，辦理工業區之土地開發、用地租售及維護管理事宜，以達成公務預算零支出，本案亦如是。因此為使承辦之民間土開公司可以視實際廠商預登記購地情形，決定是否動工開發，以確保財務平衡及避免履約糾紛，各工業區的土地預登記手冊皆會設有「廠商繳交預登記保證金未逾70%，得終止開發。」的避險條款。</w:t>
      </w:r>
    </w:p>
    <w:p>
      <w:pPr>
        <w:numPr>
          <w:ilvl w:val="0"/>
          <w:numId w:val="0"/>
        </w:numPr>
        <w:rPr>
          <w:rFonts w:hint="eastAsia" w:ascii="SimSun" w:hAnsi="SimSun" w:eastAsia="SimSun" w:cs="SimSun"/>
          <w:sz w:val="24"/>
          <w:szCs w:val="24"/>
          <w:lang w:val="en-US" w:eastAsia="zh-TW"/>
        </w:rPr>
      </w:pP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但此條款無法當成是本案合理的國土及工業用地成長管理作為，因本案開發一旦通過環境影響評估並取得開發許可，就會將大規模的優良農地轉用成工業用地，也將正式編成工業區。即便未來因廠商預登記保證金未逾70%而未動工，也難再回復農業使用，仍會有大面積的土地閒置。</w:t>
      </w:r>
    </w:p>
    <w:p>
      <w:pPr>
        <w:numPr>
          <w:ilvl w:val="0"/>
          <w:numId w:val="0"/>
        </w:numPr>
        <w:rPr>
          <w:rFonts w:hint="eastAsia" w:ascii="SimSun" w:hAnsi="SimSun" w:eastAsia="SimSun" w:cs="SimSun"/>
          <w:sz w:val="24"/>
          <w:szCs w:val="24"/>
          <w:lang w:val="en-US" w:eastAsia="zh-TW"/>
        </w:rPr>
      </w:pPr>
    </w:p>
    <w:p>
      <w:pPr>
        <w:numPr>
          <w:ilvl w:val="0"/>
          <w:numId w:val="0"/>
        </w:numPr>
        <w:rPr>
          <w:rFonts w:hint="eastAsia" w:ascii="SimSun" w:hAnsi="SimSun" w:eastAsia="SimSun" w:cs="SimSun"/>
          <w:b/>
          <w:bCs/>
          <w:sz w:val="24"/>
          <w:szCs w:val="24"/>
          <w:lang w:val="en-US" w:eastAsia="zh-TW"/>
        </w:rPr>
      </w:pPr>
      <w:r>
        <w:rPr>
          <w:rFonts w:hint="eastAsia" w:ascii="SimSun" w:hAnsi="SimSun" w:eastAsia="SimSun" w:cs="SimSun"/>
          <w:b/>
          <w:bCs/>
          <w:sz w:val="24"/>
          <w:szCs w:val="24"/>
          <w:lang w:val="en-US" w:eastAsia="zh-TW"/>
        </w:rPr>
        <w:t>六、開發後基地滯洪量推估錯誤，開發後恐將造成附近地區淹水</w:t>
      </w: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本案原本為可滯洪之低窪農地，開發是否會加重地表逕流程度，增加區域淹水風險為本案主要爭點。亦有環委直言本案若開發，恐將重演南科大規模開發台糖蔗田造成淹水的問題。目前開發單位稱本案開發後基地涵蓄水量、加上滯洪池蓄水量，以及中央低地公園(含綠地、環保造林地、滯洪池及水道)的蓄水量，合計開發後可蓄水量為95.7萬噸，與開發前蓄水量84.7萬噸相較，開發後總蓄水量增加11.49%，不影響區外排水。</w:t>
      </w:r>
    </w:p>
    <w:p>
      <w:pPr>
        <w:widowControl w:val="0"/>
        <w:numPr>
          <w:ilvl w:val="0"/>
          <w:numId w:val="0"/>
        </w:numPr>
        <w:jc w:val="both"/>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t>1.</w:t>
      </w:r>
      <w:r>
        <w:rPr>
          <w:rFonts w:hint="eastAsia" w:ascii="SimSun" w:hAnsi="SimSun" w:eastAsia="SimSun" w:cs="SimSun"/>
          <w:b/>
          <w:bCs/>
          <w:sz w:val="24"/>
          <w:szCs w:val="24"/>
          <w:lang w:val="en-US" w:eastAsia="zh-TW"/>
        </w:rPr>
        <w:t>滯洪池池深應減挖1.2~1.5公尺,蓄水量將減少14~16萬噸</w:t>
      </w:r>
    </w:p>
    <w:p>
      <w:pPr>
        <w:widowControl w:val="0"/>
        <w:numPr>
          <w:ilvl w:val="0"/>
          <w:numId w:val="0"/>
        </w:numPr>
        <w:jc w:val="both"/>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但本案滯洪池池底高度與地下水位之關係有明顯錯誤。</w:t>
      </w:r>
      <w:r>
        <w:rPr>
          <w:rFonts w:hint="eastAsia" w:ascii="SimSun" w:hAnsi="SimSun" w:eastAsia="SimSun" w:cs="SimSun"/>
          <w:b/>
          <w:bCs/>
          <w:sz w:val="24"/>
          <w:szCs w:val="24"/>
          <w:u w:val="single"/>
          <w:lang w:val="en-US" w:eastAsia="zh-TW"/>
        </w:rPr>
        <w:t>開發單位稱目前區內各滯洪池的池底為地表下2.3~2.6公尺，皆高於地下水位</w:t>
      </w:r>
      <w:r>
        <w:rPr>
          <w:rFonts w:hint="eastAsia" w:ascii="SimSun" w:hAnsi="SimSun" w:eastAsia="SimSun" w:cs="SimSun"/>
          <w:sz w:val="24"/>
          <w:szCs w:val="24"/>
          <w:lang w:val="en-US" w:eastAsia="zh-TW"/>
        </w:rPr>
        <w:t>，因此土壤液化風險小。在回應環評委員提問滯洪池能否加深時，也強調再挖深池底將低於地下水位，而增加土壤液化風險。(資料來源：環評報告書7-122頁)</w:t>
      </w: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br w:type="textWrapping"/>
      </w:r>
    </w:p>
    <w:p>
      <w:pPr>
        <w:widowControl w:val="0"/>
        <w:numPr>
          <w:ilvl w:val="0"/>
          <w:numId w:val="0"/>
        </w:numPr>
        <w:jc w:val="both"/>
        <w:rPr>
          <w:rFonts w:hint="eastAsia" w:ascii="SimSun" w:hAnsi="SimSun" w:eastAsia="SimSun" w:cs="SimSun"/>
          <w:b/>
          <w:bCs/>
          <w:sz w:val="24"/>
          <w:szCs w:val="24"/>
          <w:u w:val="single"/>
          <w:lang w:val="en-US" w:eastAsia="zh-TW"/>
        </w:rPr>
      </w:pPr>
      <w:r>
        <w:rPr>
          <w:rFonts w:hint="eastAsia" w:ascii="SimSun" w:hAnsi="SimSun" w:eastAsia="SimSun" w:cs="SimSun"/>
          <w:sz w:val="24"/>
          <w:szCs w:val="24"/>
          <w:lang w:val="en-US" w:eastAsia="zh-TW"/>
        </w:rPr>
        <w:t>然而環評書卻清楚載明</w:t>
      </w:r>
      <w:r>
        <w:rPr>
          <w:rFonts w:hint="eastAsia" w:ascii="SimSun" w:hAnsi="SimSun" w:eastAsia="SimSun" w:cs="SimSun"/>
          <w:b/>
          <w:bCs/>
          <w:sz w:val="24"/>
          <w:szCs w:val="24"/>
          <w:u w:val="single"/>
          <w:lang w:val="en-US" w:eastAsia="zh-TW"/>
        </w:rPr>
        <w:t>二林精機地下水位為地表下1.1~3.1公尺，顯見目前滯洪池池底皆低於地下水位1.2~1.5公尺。(資料來源：環評報告書：7-122頁)</w:t>
      </w:r>
      <w:r>
        <w:rPr>
          <w:rFonts w:hint="eastAsia" w:ascii="SimSun" w:hAnsi="SimSun" w:eastAsia="SimSun" w:cs="SimSun"/>
          <w:sz w:val="24"/>
          <w:szCs w:val="24"/>
          <w:lang w:val="en-US" w:eastAsia="zh-TW"/>
        </w:rPr>
        <w:t>為降低土壤液化風險，以及正確估算滯洪池可靠滯洪量，滯洪池池底深度確實應高於地下水位，因此</w:t>
      </w:r>
      <w:r>
        <w:rPr>
          <w:rFonts w:hint="eastAsia" w:ascii="SimSun" w:hAnsi="SimSun" w:eastAsia="SimSun" w:cs="SimSun"/>
          <w:b/>
          <w:bCs/>
          <w:sz w:val="24"/>
          <w:szCs w:val="24"/>
          <w:u w:val="single"/>
          <w:lang w:val="en-US" w:eastAsia="zh-TW"/>
        </w:rPr>
        <w:t>現有滯洪池應減挖1.2~1.5公尺，將減少14~16萬噸蓄水量。</w:t>
      </w:r>
    </w:p>
    <w:p>
      <w:pPr>
        <w:widowControl w:val="0"/>
        <w:numPr>
          <w:ilvl w:val="0"/>
          <w:numId w:val="0"/>
        </w:numPr>
        <w:jc w:val="both"/>
        <w:rPr>
          <w:rFonts w:hint="eastAsia" w:ascii="SimSun" w:hAnsi="SimSun" w:eastAsia="SimSun" w:cs="SimSun"/>
          <w:b/>
          <w:bCs/>
          <w:sz w:val="24"/>
          <w:szCs w:val="24"/>
          <w:u w:val="single"/>
          <w:lang w:val="en-US" w:eastAsia="zh-TW"/>
        </w:rPr>
      </w:pPr>
    </w:p>
    <w:p>
      <w:pPr>
        <w:widowControl w:val="0"/>
        <w:numPr>
          <w:ilvl w:val="0"/>
          <w:numId w:val="0"/>
        </w:numPr>
        <w:jc w:val="both"/>
        <w:rPr>
          <w:rFonts w:hint="eastAsia" w:ascii="SimSun" w:hAnsi="SimSun" w:eastAsia="SimSun" w:cs="SimSun"/>
          <w:b/>
          <w:bCs/>
          <w:sz w:val="24"/>
          <w:szCs w:val="24"/>
          <w:u w:val="single"/>
          <w:lang w:val="en-US" w:eastAsia="zh-TW"/>
        </w:rPr>
      </w:pPr>
      <w:r>
        <w:rPr>
          <w:rFonts w:hint="eastAsia" w:ascii="SimSun" w:hAnsi="SimSun" w:eastAsia="SimSun" w:cs="SimSun"/>
          <w:b/>
          <w:bCs/>
          <w:sz w:val="24"/>
          <w:szCs w:val="24"/>
          <w:u w:val="single"/>
          <w:lang w:val="en-US" w:eastAsia="zh-TW"/>
        </w:rPr>
        <w:drawing>
          <wp:inline distT="0" distB="0" distL="114300" distR="114300">
            <wp:extent cx="5270500" cy="3183255"/>
            <wp:effectExtent l="0" t="0" r="0" b="4445"/>
            <wp:docPr id="2" name="圖片 2" descr="二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二精2"/>
                    <pic:cNvPicPr>
                      <a:picLocks noChangeAspect="1"/>
                    </pic:cNvPicPr>
                  </pic:nvPicPr>
                  <pic:blipFill>
                    <a:blip r:embed="rId7"/>
                    <a:stretch>
                      <a:fillRect/>
                    </a:stretch>
                  </pic:blipFill>
                  <pic:spPr>
                    <a:xfrm>
                      <a:off x="0" y="0"/>
                      <a:ext cx="5270500" cy="3183255"/>
                    </a:xfrm>
                    <a:prstGeom prst="rect">
                      <a:avLst/>
                    </a:prstGeom>
                  </pic:spPr>
                </pic:pic>
              </a:graphicData>
            </a:graphic>
          </wp:inline>
        </w:drawing>
      </w:r>
      <w:r>
        <w:rPr>
          <w:rFonts w:hint="eastAsia" w:ascii="SimSun" w:hAnsi="SimSun" w:eastAsia="SimSun" w:cs="SimSun"/>
          <w:b/>
          <w:bCs/>
          <w:sz w:val="24"/>
          <w:szCs w:val="24"/>
          <w:u w:val="single"/>
          <w:lang w:val="en-US" w:eastAsia="zh-TW"/>
        </w:rPr>
        <w:br w:type="textWrapping"/>
      </w:r>
    </w:p>
    <w:p>
      <w:pPr>
        <w:widowControl w:val="0"/>
        <w:numPr>
          <w:ilvl w:val="0"/>
          <w:numId w:val="0"/>
        </w:numPr>
        <w:jc w:val="both"/>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t>2</w:t>
      </w:r>
      <w:r>
        <w:rPr>
          <w:rFonts w:hint="eastAsia" w:ascii="SimSun" w:hAnsi="SimSun" w:eastAsia="SimSun" w:cs="SimSun"/>
          <w:b/>
          <w:bCs/>
          <w:sz w:val="24"/>
          <w:szCs w:val="24"/>
          <w:lang w:val="en-US" w:eastAsia="zh-TW"/>
        </w:rPr>
        <w:t>.開發後滯洪量應為79~81萬噸，較開發前蓄水量84.7萬噸少</w:t>
      </w:r>
    </w:p>
    <w:p>
      <w:pPr>
        <w:widowControl w:val="0"/>
        <w:numPr>
          <w:ilvl w:val="0"/>
          <w:numId w:val="0"/>
        </w:numPr>
        <w:jc w:val="both"/>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是故，若扣除滯洪池深度調整所減少的14~16萬噸，開發後總蓄水量約為79.7~81.7萬噸，將少於開發前蓄水量84.7萬噸，恐將影響區外排水。</w:t>
      </w:r>
    </w:p>
    <w:p>
      <w:pPr>
        <w:widowControl w:val="0"/>
        <w:numPr>
          <w:ilvl w:val="0"/>
          <w:numId w:val="0"/>
        </w:numPr>
        <w:jc w:val="both"/>
        <w:rPr>
          <w:rFonts w:hint="eastAsia" w:ascii="SimSun" w:hAnsi="SimSun" w:eastAsia="SimSun" w:cs="SimSun"/>
          <w:sz w:val="24"/>
          <w:szCs w:val="24"/>
          <w:lang w:val="en-US" w:eastAsia="zh-TW"/>
        </w:rPr>
      </w:pPr>
    </w:p>
    <w:p>
      <w:pPr>
        <w:widowControl w:val="0"/>
        <w:numPr>
          <w:ilvl w:val="0"/>
          <w:numId w:val="0"/>
        </w:numPr>
        <w:jc w:val="both"/>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drawing>
          <wp:inline distT="0" distB="0" distL="114300" distR="114300">
            <wp:extent cx="5270500" cy="2217420"/>
            <wp:effectExtent l="0" t="0" r="0" b="5080"/>
            <wp:docPr id="5" name="圖片 5" descr="蓄水量核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蓄水量核算"/>
                    <pic:cNvPicPr>
                      <a:picLocks noChangeAspect="1"/>
                    </pic:cNvPicPr>
                  </pic:nvPicPr>
                  <pic:blipFill>
                    <a:blip r:embed="rId8"/>
                    <a:stretch>
                      <a:fillRect/>
                    </a:stretch>
                  </pic:blipFill>
                  <pic:spPr>
                    <a:xfrm>
                      <a:off x="0" y="0"/>
                      <a:ext cx="5270500" cy="2217420"/>
                    </a:xfrm>
                    <a:prstGeom prst="rect">
                      <a:avLst/>
                    </a:prstGeom>
                  </pic:spPr>
                </pic:pic>
              </a:graphicData>
            </a:graphic>
          </wp:inline>
        </w:drawing>
      </w:r>
    </w:p>
    <w:p>
      <w:pPr>
        <w:widowControl w:val="0"/>
        <w:numPr>
          <w:ilvl w:val="0"/>
          <w:numId w:val="0"/>
        </w:numPr>
        <w:jc w:val="both"/>
        <w:rPr>
          <w:rFonts w:hint="eastAsia" w:ascii="SimSun" w:hAnsi="SimSun" w:eastAsia="SimSun" w:cs="SimSun"/>
          <w:sz w:val="24"/>
          <w:szCs w:val="24"/>
          <w:lang w:val="en-US" w:eastAsia="zh-TW"/>
        </w:rPr>
      </w:pPr>
    </w:p>
    <w:p>
      <w:pPr>
        <w:widowControl w:val="0"/>
        <w:numPr>
          <w:ilvl w:val="0"/>
          <w:numId w:val="0"/>
        </w:numPr>
        <w:jc w:val="both"/>
        <w:rPr>
          <w:rFonts w:hint="eastAsia" w:ascii="SimSun" w:hAnsi="SimSun" w:eastAsia="SimSun" w:cs="SimSun"/>
          <w:sz w:val="24"/>
          <w:szCs w:val="24"/>
          <w:lang w:val="en-US" w:eastAsia="zh-TW"/>
        </w:rPr>
      </w:pPr>
    </w:p>
    <w:p>
      <w:pPr>
        <w:widowControl w:val="0"/>
        <w:numPr>
          <w:ilvl w:val="0"/>
          <w:numId w:val="0"/>
        </w:numPr>
        <w:jc w:val="both"/>
        <w:rPr>
          <w:rFonts w:hint="eastAsia" w:ascii="SimSun" w:hAnsi="SimSun" w:eastAsia="SimSun" w:cs="SimSun"/>
          <w:sz w:val="24"/>
          <w:szCs w:val="24"/>
          <w:lang w:val="en-US" w:eastAsia="zh-TW"/>
        </w:rPr>
      </w:pPr>
    </w:p>
    <w:p>
      <w:pPr>
        <w:widowControl w:val="0"/>
        <w:numPr>
          <w:ilvl w:val="0"/>
          <w:numId w:val="0"/>
        </w:numPr>
        <w:jc w:val="both"/>
        <w:rPr>
          <w:rFonts w:hint="eastAsia" w:ascii="SimSun" w:hAnsi="SimSun" w:eastAsia="SimSun" w:cs="SimSun"/>
          <w:b/>
          <w:bCs/>
          <w:sz w:val="24"/>
          <w:szCs w:val="24"/>
          <w:lang w:val="en-US" w:eastAsia="zh-TW"/>
        </w:rPr>
      </w:pPr>
      <w:r>
        <w:rPr>
          <w:rFonts w:hint="eastAsia" w:ascii="SimSun" w:hAnsi="SimSun" w:eastAsia="SimSun" w:cs="SimSun"/>
          <w:b/>
          <w:bCs/>
          <w:sz w:val="24"/>
          <w:szCs w:val="24"/>
          <w:lang w:val="en-US" w:eastAsia="zh-TW"/>
        </w:rPr>
        <w:t>七、強制廠商使用再生水恐窒礙難行</w:t>
      </w:r>
    </w:p>
    <w:p>
      <w:pPr>
        <w:widowControl w:val="0"/>
        <w:numPr>
          <w:ilvl w:val="0"/>
          <w:numId w:val="0"/>
        </w:numPr>
        <w:jc w:val="both"/>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開發單位宣稱本案開發將強制要求廠商使用再生水，占總用水需求超過50%。但未提出具體可行規劃，為本案於第二次專案小組決議不應開發的理由之一。再生水成本相當高，以政府已負擔建設成本的鳳山再生水廠為例，一度水仍要18.8元，比自來水貴八元，廠商承擔用水成本的意願及能力應皆有疑慮。管理單位如何稽核及強制廠商落實再生水使用承諾，也為環評委員關切。</w:t>
      </w: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t>此次開發單位提出，若廠商未落實再生水迴用承諾量，將停止供應自來水。惟本會遍查現行中央及地方法規，皆未有授權工業區管理單位，可因廠商未達再生水使用承諾量即會同供水單位停供之法規依據。即便將相關規定納入工業區管理單位與廠商的行政契約中，效力也無法及於自來水公司的供水行為，恐將衍生適法性問題或契約爭議。</w:t>
      </w:r>
    </w:p>
    <w:p>
      <w:pPr>
        <w:widowControl w:val="0"/>
        <w:numPr>
          <w:ilvl w:val="0"/>
          <w:numId w:val="0"/>
        </w:numPr>
        <w:jc w:val="both"/>
        <w:rPr>
          <w:rFonts w:hint="eastAsia" w:ascii="SimSun" w:hAnsi="SimSun" w:eastAsia="SimSun" w:cs="SimSun"/>
          <w:sz w:val="24"/>
          <w:szCs w:val="24"/>
          <w:lang w:val="en-US" w:eastAsia="zh-TW"/>
        </w:rPr>
      </w:pPr>
    </w:p>
    <w:p>
      <w:pPr>
        <w:widowControl w:val="0"/>
        <w:numPr>
          <w:ilvl w:val="0"/>
          <w:numId w:val="0"/>
        </w:numPr>
        <w:jc w:val="both"/>
        <w:rPr>
          <w:rFonts w:hint="eastAsia" w:ascii="SimSun" w:hAnsi="SimSun" w:eastAsia="SimSun" w:cs="SimSun"/>
          <w:sz w:val="24"/>
          <w:szCs w:val="24"/>
          <w:lang w:val="en-US" w:eastAsia="zh-TW"/>
        </w:rPr>
      </w:pPr>
    </w:p>
    <w:p>
      <w:pPr>
        <w:widowControl w:val="0"/>
        <w:numPr>
          <w:ilvl w:val="0"/>
          <w:numId w:val="0"/>
        </w:numPr>
        <w:jc w:val="both"/>
        <w:rPr>
          <w:rFonts w:hint="eastAsia" w:ascii="SimSun" w:hAnsi="SimSun" w:eastAsia="SimSun" w:cs="SimSun"/>
          <w:sz w:val="24"/>
          <w:szCs w:val="24"/>
          <w:lang w:val="en-US" w:eastAsia="zh-TW"/>
        </w:rPr>
      </w:pPr>
      <w:r>
        <w:rPr>
          <w:rFonts w:hint="eastAsia" w:ascii="SimSun" w:hAnsi="SimSun" w:eastAsia="SimSun" w:cs="SimSun"/>
          <w:b/>
          <w:bCs/>
          <w:sz w:val="24"/>
          <w:szCs w:val="24"/>
          <w:lang w:val="en-US" w:eastAsia="zh-TW"/>
        </w:rPr>
        <w:t>八、仍未評估竹寮社區環境影響，也未提出保護對策</w:t>
      </w: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t>第四次專案小組專案小組審查，本會指出本案區內有竹寮社區，但在環評書件中至今未見關於該社區的現狀分析，以及受本案施工、營運之影響及對策。甚至於第四次審查之修正本7-174直接載明本案範圍內無住宅社區，是否有環境影響評估法20條的明知不實而登載的情事，環保署應主動調查。目前環評書件之修正本，仍然未見開發單位針對本案各階段開發行為，對竹寮社區可能造成之振動、噪音、空氣污染、出入動線、排水進行影響評估，也未提出保護對策。</w:t>
      </w:r>
    </w:p>
    <w:p>
      <w:pPr>
        <w:widowControl w:val="0"/>
        <w:numPr>
          <w:ilvl w:val="0"/>
          <w:numId w:val="0"/>
        </w:numPr>
        <w:jc w:val="both"/>
        <w:rPr>
          <w:rFonts w:hint="eastAsia" w:ascii="SimSun" w:hAnsi="SimSun" w:eastAsia="SimSun" w:cs="SimSun"/>
          <w:sz w:val="24"/>
          <w:szCs w:val="24"/>
          <w:lang w:val="en-US" w:eastAsia="zh-TW"/>
        </w:rPr>
      </w:pPr>
    </w:p>
    <w:p>
      <w:pPr>
        <w:widowControl w:val="0"/>
        <w:numPr>
          <w:ilvl w:val="0"/>
          <w:numId w:val="0"/>
        </w:numPr>
        <w:jc w:val="both"/>
        <w:rPr>
          <w:rFonts w:hint="eastAsia" w:ascii="SimSun" w:hAnsi="SimSun" w:eastAsia="SimSun" w:cs="SimSun"/>
          <w:b/>
          <w:bCs/>
          <w:sz w:val="24"/>
          <w:szCs w:val="24"/>
          <w:lang w:val="en-US" w:eastAsia="zh-TW"/>
        </w:rPr>
      </w:pPr>
      <w:r>
        <w:rPr>
          <w:rFonts w:hint="eastAsia" w:ascii="SimSun" w:hAnsi="SimSun" w:eastAsia="SimSun" w:cs="SimSun"/>
          <w:b/>
          <w:bCs/>
          <w:sz w:val="24"/>
          <w:szCs w:val="24"/>
          <w:lang w:val="en-US" w:eastAsia="zh-TW"/>
        </w:rPr>
        <w:t>九、建請彰化縣府考慮主動撤案</w:t>
      </w:r>
    </w:p>
    <w:p>
      <w:pPr>
        <w:numPr>
          <w:ilvl w:val="0"/>
          <w:numId w:val="0"/>
        </w:numPr>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t>本會建議，鑒於縣府於彰化縣國土計畫草案中，已擬將本案場址與中科二林及鄰近地區共同劃為城鄉發展地區2-3，作為未來發展用地。因本案目前諸多爭議未解，縣府也可考慮主動撤回本案環評，回歸區域成長管理，待中科二林全區開發完成，且進駐率達50%以上後，再視當時社會經濟條件之發展趨勢，評估調整二林精機開發內容及開發方式，再行提出申請。</w:t>
      </w:r>
    </w:p>
    <w:p>
      <w:pPr>
        <w:widowControl w:val="0"/>
        <w:numPr>
          <w:ilvl w:val="0"/>
          <w:numId w:val="0"/>
        </w:numPr>
        <w:jc w:val="both"/>
        <w:rPr>
          <w:rFonts w:hint="eastAsia" w:ascii="SimSun" w:hAnsi="SimSun" w:eastAsia="SimSun" w:cs="SimSun"/>
          <w:sz w:val="24"/>
          <w:szCs w:val="24"/>
          <w:lang w:val="en-US" w:eastAsia="zh-TW"/>
        </w:rPr>
      </w:pPr>
    </w:p>
    <w:p>
      <w:pPr>
        <w:widowControl w:val="0"/>
        <w:numPr>
          <w:ilvl w:val="0"/>
          <w:numId w:val="0"/>
        </w:numPr>
        <w:jc w:val="both"/>
        <w:rPr>
          <w:rFonts w:hint="eastAsia" w:ascii="SimSun" w:hAnsi="SimSun" w:eastAsia="SimSun" w:cs="SimSun"/>
          <w:sz w:val="24"/>
          <w:szCs w:val="24"/>
          <w:lang w:val="en-US" w:eastAsia="zh-TW"/>
        </w:rPr>
      </w:pPr>
      <w:r>
        <w:rPr>
          <w:rFonts w:hint="eastAsia" w:ascii="SimSun" w:hAnsi="SimSun" w:eastAsia="SimSun" w:cs="SimSun"/>
          <w:sz w:val="24"/>
          <w:szCs w:val="24"/>
          <w:lang w:val="en-US" w:eastAsia="zh-TW"/>
        </w:rPr>
        <w:br w:type="textWrapping"/>
      </w:r>
      <w:r>
        <w:rPr>
          <w:rFonts w:hint="eastAsia" w:ascii="SimSun" w:hAnsi="SimSun" w:eastAsia="SimSun" w:cs="SimSun"/>
          <w:sz w:val="24"/>
          <w:szCs w:val="24"/>
          <w:lang w:val="en-US" w:eastAsia="zh-TW"/>
        </w:rPr>
        <w:br w:type="textWrapping"/>
      </w:r>
    </w:p>
    <w:p>
      <w:pPr>
        <w:numPr>
          <w:ilvl w:val="0"/>
          <w:numId w:val="0"/>
        </w:numPr>
        <w:rPr>
          <w:rFonts w:hint="eastAsia" w:ascii="SimSun" w:hAnsi="SimSun" w:eastAsia="SimSun" w:cs="SimSun"/>
          <w:sz w:val="24"/>
          <w:szCs w:val="24"/>
          <w:lang w:eastAsia="zh-TW"/>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Impact">
    <w:panose1 w:val="020B0806030902050204"/>
    <w:charset w:val="00"/>
    <w:family w:val="auto"/>
    <w:pitch w:val="default"/>
    <w:sig w:usb0="00000287" w:usb1="00000000" w:usb2="00000000" w:usb3="00000000" w:csb0="2000009F" w:csb1="DFD70000"/>
  </w:font>
  <w:font w:name="微軟正黑體">
    <w:panose1 w:val="020B0604030504040204"/>
    <w:charset w:val="88"/>
    <w:family w:val="auto"/>
    <w:pitch w:val="default"/>
    <w:sig w:usb0="000002A7" w:usb1="28CF4400" w:usb2="00000016" w:usb3="00000000" w:csb0="00100009" w:csb1="00000000"/>
  </w:font>
  <w:font w:name="Calibri Light">
    <w:panose1 w:val="020F0302020204030204"/>
    <w:charset w:val="00"/>
    <w:family w:val="auto"/>
    <w:pitch w:val="default"/>
    <w:sig w:usb0="E4002EFF" w:usb1="C000247B" w:usb2="00000009" w:usb3="00000000" w:csb0="200001FF" w:csb1="00000000"/>
  </w:font>
  <w:font w:name="微軟正黑體 Light">
    <w:panose1 w:val="020B0304030504040204"/>
    <w:charset w:val="88"/>
    <w:family w:val="auto"/>
    <w:pitch w:val="default"/>
    <w:sig w:usb0="800002A7" w:usb1="28CF4400" w:usb2="00000016" w:usb3="00000000" w:csb0="00100009" w:csb1="00000000"/>
  </w:font>
  <w:font w:name="新細明體-ExtB">
    <w:panose1 w:val="02020500000000000000"/>
    <w:charset w:val="88"/>
    <w:family w:val="auto"/>
    <w:pitch w:val="default"/>
    <w:sig w:usb0="8000002F" w:usb1="02000008" w:usb2="00000000" w:usb3="00000000" w:csb0="00100001" w:csb1="00000000"/>
  </w:font>
  <w:font w:name="標楷體">
    <w:panose1 w:val="03000509000000000000"/>
    <w:charset w:val="88"/>
    <w:family w:val="auto"/>
    <w:pitch w:val="default"/>
    <w:sig w:usb0="00000003" w:usb1="082E0000" w:usb2="00000016" w:usb3="00000000" w:csb0="00100001" w:csb1="00000000"/>
  </w:font>
  <w:font w:name="細明體-ExtB">
    <w:panose1 w:val="02020500000000000000"/>
    <w:charset w:val="88"/>
    <w:family w:val="auto"/>
    <w:pitch w:val="default"/>
    <w:sig w:usb0="8000002F" w:usb1="02000008" w:usb2="00000000" w:usb3="00000000" w:csb0="00100001" w:csb1="00000000"/>
  </w:font>
  <w:font w:name="細明體_HKSCS">
    <w:panose1 w:val="02020500000000000000"/>
    <w:charset w:val="88"/>
    <w:family w:val="auto"/>
    <w:pitch w:val="default"/>
    <w:sig w:usb0="A00002FF" w:usb1="28CFFCFA" w:usb2="00000016" w:usb3="00000000" w:csb0="00100001" w:csb1="00000000"/>
  </w:font>
  <w:font w:name="細明體_HKSCS-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w:panose1 w:val="020B0503020204020204"/>
    <w:charset w:val="86"/>
    <w:family w:val="auto"/>
    <w:pitch w:val="default"/>
    <w:sig w:usb0="80000287" w:usb1="2ACF3C50" w:usb2="00000016" w:usb3="00000000" w:csb0="0004001F" w:csb1="00000000"/>
  </w:font>
  <w:font w:name="Microsoft YaHe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NSimSun">
    <w:panose1 w:val="02010609030101010101"/>
    <w:charset w:val="86"/>
    <w:family w:val="auto"/>
    <w:pitch w:val="default"/>
    <w:sig w:usb0="0000028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Noto Sans T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numPr>
        <w:ilvl w:val="0"/>
        <w:numId w:val="0"/>
      </w:numPr>
      <w:rPr>
        <w:rFonts w:hint="eastAsia" w:ascii="SimSun" w:hAnsi="SimSun" w:eastAsia="SimSun" w:cs="SimSun"/>
        <w:sz w:val="24"/>
        <w:szCs w:val="24"/>
        <w:lang w:eastAsia="zh-TW"/>
      </w:rPr>
    </w:pPr>
    <w:r>
      <w:rPr>
        <w:rFonts w:hint="eastAsia" w:ascii="SimSun" w:hAnsi="SimSun" w:eastAsia="SimSun" w:cs="SimSun"/>
        <w:sz w:val="24"/>
        <w:szCs w:val="24"/>
        <w:lang w:eastAsia="zh-TW"/>
      </w:rPr>
      <w:t>聯絡人：環境權保障基金會研究員許博任</w:t>
    </w:r>
    <w:r>
      <w:rPr>
        <w:rFonts w:hint="eastAsia" w:ascii="SimSun" w:hAnsi="SimSun" w:eastAsia="SimSun" w:cs="SimSun"/>
        <w:sz w:val="24"/>
        <w:szCs w:val="24"/>
        <w:lang w:val="en-US" w:eastAsia="zh-TW"/>
      </w:rPr>
      <w:t>0975822250 dbmark0212@gmail.com</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811D8"/>
    <w:multiLevelType w:val="singleLevel"/>
    <w:tmpl w:val="5E8811D8"/>
    <w:lvl w:ilvl="0" w:tentative="0">
      <w:start w:val="1"/>
      <w:numFmt w:val="chineseCounting"/>
      <w:suff w:val="nothing"/>
      <w:lvlText w:val="%1、"/>
      <w:lvlJc w:val="left"/>
    </w:lvl>
  </w:abstractNum>
  <w:abstractNum w:abstractNumId="1">
    <w:nsid w:val="5E881200"/>
    <w:multiLevelType w:val="singleLevel"/>
    <w:tmpl w:val="5E88120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35F92"/>
    <w:rsid w:val="06A16F19"/>
    <w:rsid w:val="06F473D2"/>
    <w:rsid w:val="0BEE30E9"/>
    <w:rsid w:val="108D5D36"/>
    <w:rsid w:val="12204BA2"/>
    <w:rsid w:val="14635F92"/>
    <w:rsid w:val="15427549"/>
    <w:rsid w:val="19D6033B"/>
    <w:rsid w:val="25311CA8"/>
    <w:rsid w:val="255478A5"/>
    <w:rsid w:val="2620791B"/>
    <w:rsid w:val="2AA93EEE"/>
    <w:rsid w:val="2AAD00F0"/>
    <w:rsid w:val="2EC010CD"/>
    <w:rsid w:val="3B3C67ED"/>
    <w:rsid w:val="43FF72C1"/>
    <w:rsid w:val="44E25FB5"/>
    <w:rsid w:val="4C8853EE"/>
    <w:rsid w:val="4CA12899"/>
    <w:rsid w:val="4D86241E"/>
    <w:rsid w:val="55087A11"/>
    <w:rsid w:val="57C5129D"/>
    <w:rsid w:val="586368FB"/>
    <w:rsid w:val="601C0DB1"/>
    <w:rsid w:val="615B1959"/>
    <w:rsid w:val="6190788E"/>
    <w:rsid w:val="65B22B41"/>
    <w:rsid w:val="665F6978"/>
    <w:rsid w:val="67D71376"/>
    <w:rsid w:val="67EE5C04"/>
    <w:rsid w:val="79A02B18"/>
  </w:rsid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jc w:val="both"/>
    </w:pPr>
    <w:rPr>
      <w:sz w:val="20"/>
    </w:rPr>
  </w:style>
  <w:style w:type="paragraph" w:styleId="3">
    <w:name w:val="footer"/>
    <w:basedOn w:val="1"/>
    <w:qFormat/>
    <w:uiPriority w:val="0"/>
    <w:pPr>
      <w:tabs>
        <w:tab w:val="center" w:pos="4153"/>
        <w:tab w:val="right" w:pos="8306"/>
      </w:tabs>
      <w:snapToGrid w:val="0"/>
    </w:pPr>
    <w:rPr>
      <w:sz w:val="20"/>
    </w:r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lang w:val="en-US" w:eastAsia="zh-CN" w:bidi="ar"/>
    </w:rPr>
  </w:style>
  <w:style w:type="character" w:styleId="6">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2020-02-18T04:49:00Z</dcterms:created>
  <dc:creator>博任</dc:creator>
  <cp:lastModifiedBy>博任</cp:lastModifiedBy>
  <cp:lastPrinted>2020-02-19T04:18:00Z</cp:lastPrinted>
  <dcterms:modified xsi:type="dcterms:W3CDTF">2020-04-20T15:52:58Z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